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992F" w14:textId="77AFD62B" w:rsidR="004E0446" w:rsidRDefault="004E0446" w:rsidP="004E0446">
      <w:pPr>
        <w:pStyle w:val="Ttulo1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PREGÃO ELETRÔNICO Nº 90.003/2025</w:t>
      </w:r>
    </w:p>
    <w:p w14:paraId="6BBDC4E1" w14:textId="7C107287" w:rsidR="00293242" w:rsidRPr="00FA0146" w:rsidRDefault="00293242" w:rsidP="004E0446">
      <w:pPr>
        <w:pStyle w:val="Ttulo1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FA0146">
        <w:rPr>
          <w:rFonts w:asciiTheme="minorHAnsi" w:hAnsiTheme="minorHAnsi" w:cstheme="minorHAnsi"/>
          <w:sz w:val="22"/>
          <w:szCs w:val="22"/>
        </w:rPr>
        <w:t>PROCESSO</w:t>
      </w:r>
      <w:r w:rsidRPr="00FA0146">
        <w:rPr>
          <w:rFonts w:asciiTheme="minorHAnsi" w:hAnsiTheme="minorHAnsi" w:cstheme="minorHAnsi"/>
          <w:sz w:val="22"/>
          <w:szCs w:val="22"/>
          <w:lang w:val="pt-BR"/>
        </w:rPr>
        <w:t xml:space="preserve"> Nº</w:t>
      </w:r>
      <w:r w:rsidRPr="00FA0146">
        <w:rPr>
          <w:rFonts w:asciiTheme="minorHAnsi" w:hAnsiTheme="minorHAnsi" w:cstheme="minorHAnsi"/>
          <w:sz w:val="22"/>
          <w:szCs w:val="22"/>
        </w:rPr>
        <w:t xml:space="preserve"> </w:t>
      </w:r>
      <w:r w:rsidR="008A2912">
        <w:rPr>
          <w:rFonts w:ascii="Arial" w:hAnsi="Arial" w:cs="Arial"/>
          <w:b w:val="0"/>
          <w:sz w:val="20"/>
          <w:szCs w:val="20"/>
        </w:rPr>
        <w:t>4625/2024</w:t>
      </w:r>
    </w:p>
    <w:p w14:paraId="6A36D11D" w14:textId="41567F55" w:rsidR="00CE5238" w:rsidRPr="004E0446" w:rsidRDefault="00CE5238" w:rsidP="004E0446">
      <w:pPr>
        <w:pStyle w:val="Ttulo1"/>
        <w:spacing w:after="240" w:line="276" w:lineRule="auto"/>
        <w:jc w:val="center"/>
        <w:rPr>
          <w:rFonts w:asciiTheme="minorHAnsi" w:hAnsiTheme="minorHAnsi" w:cstheme="minorHAnsi"/>
          <w:bCs w:val="0"/>
          <w:lang w:val="pt-BR"/>
        </w:rPr>
      </w:pPr>
      <w:r w:rsidRPr="004E0446">
        <w:rPr>
          <w:rFonts w:asciiTheme="minorHAnsi" w:hAnsiTheme="minorHAnsi" w:cstheme="minorHAnsi"/>
          <w:bCs w:val="0"/>
        </w:rPr>
        <w:t>Aná</w:t>
      </w:r>
      <w:r w:rsidR="00993C03" w:rsidRPr="004E0446">
        <w:rPr>
          <w:rFonts w:asciiTheme="minorHAnsi" w:hAnsiTheme="minorHAnsi" w:cstheme="minorHAnsi"/>
          <w:bCs w:val="0"/>
        </w:rPr>
        <w:t>lise d</w:t>
      </w:r>
      <w:r w:rsidR="00993C03" w:rsidRPr="004E0446">
        <w:rPr>
          <w:rFonts w:asciiTheme="minorHAnsi" w:hAnsiTheme="minorHAnsi" w:cstheme="minorHAnsi"/>
          <w:bCs w:val="0"/>
          <w:lang w:val="pt-BR"/>
        </w:rPr>
        <w:t>os</w:t>
      </w:r>
      <w:r w:rsidR="00FB4692" w:rsidRPr="004E0446">
        <w:rPr>
          <w:rFonts w:asciiTheme="minorHAnsi" w:hAnsiTheme="minorHAnsi" w:cstheme="minorHAnsi"/>
          <w:bCs w:val="0"/>
        </w:rPr>
        <w:t xml:space="preserve"> </w:t>
      </w:r>
      <w:r w:rsidR="00666AF6" w:rsidRPr="004E0446">
        <w:rPr>
          <w:rFonts w:asciiTheme="minorHAnsi" w:hAnsiTheme="minorHAnsi" w:cstheme="minorHAnsi"/>
          <w:bCs w:val="0"/>
          <w:u w:val="single"/>
          <w:lang w:val="pt-BR"/>
        </w:rPr>
        <w:t>recurso</w:t>
      </w:r>
      <w:r w:rsidR="00993C03" w:rsidRPr="004E0446">
        <w:rPr>
          <w:rFonts w:asciiTheme="minorHAnsi" w:hAnsiTheme="minorHAnsi" w:cstheme="minorHAnsi"/>
          <w:bCs w:val="0"/>
          <w:u w:val="single"/>
          <w:lang w:val="pt-BR"/>
        </w:rPr>
        <w:t>s</w:t>
      </w:r>
      <w:r w:rsidRPr="004E0446">
        <w:rPr>
          <w:rFonts w:asciiTheme="minorHAnsi" w:hAnsiTheme="minorHAnsi" w:cstheme="minorHAnsi"/>
          <w:bCs w:val="0"/>
        </w:rPr>
        <w:t xml:space="preserve"> e </w:t>
      </w:r>
      <w:r w:rsidR="00666AF6" w:rsidRPr="004E0446">
        <w:rPr>
          <w:rFonts w:asciiTheme="minorHAnsi" w:hAnsiTheme="minorHAnsi" w:cstheme="minorHAnsi"/>
          <w:bCs w:val="0"/>
          <w:u w:val="single"/>
          <w:lang w:val="pt-BR"/>
        </w:rPr>
        <w:t>contrarrazões</w:t>
      </w:r>
      <w:r w:rsidR="00666AF6" w:rsidRPr="004E0446">
        <w:rPr>
          <w:rFonts w:asciiTheme="minorHAnsi" w:hAnsiTheme="minorHAnsi" w:cstheme="minorHAnsi"/>
          <w:bCs w:val="0"/>
          <w:lang w:val="pt-BR"/>
        </w:rPr>
        <w:t xml:space="preserve"> interposto</w:t>
      </w:r>
      <w:r w:rsidR="009D5AFE" w:rsidRPr="004E0446">
        <w:rPr>
          <w:rFonts w:asciiTheme="minorHAnsi" w:hAnsiTheme="minorHAnsi" w:cstheme="minorHAnsi"/>
          <w:bCs w:val="0"/>
          <w:lang w:val="pt-BR"/>
        </w:rPr>
        <w:t xml:space="preserve">s ao </w:t>
      </w:r>
      <w:r w:rsidR="004E0446">
        <w:rPr>
          <w:rFonts w:asciiTheme="minorHAnsi" w:hAnsiTheme="minorHAnsi" w:cstheme="minorHAnsi"/>
          <w:bCs w:val="0"/>
          <w:lang w:val="pt-BR"/>
        </w:rPr>
        <w:t>LOTE ÚNICO da Licitação.</w:t>
      </w:r>
    </w:p>
    <w:p w14:paraId="2FAA1BC8" w14:textId="77777777" w:rsidR="00480121" w:rsidRDefault="00480121" w:rsidP="00FA0146">
      <w:pPr>
        <w:spacing w:after="24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D2E3810" w14:textId="3E9F81A2" w:rsidR="00BB5E8C" w:rsidRDefault="00BB5E8C" w:rsidP="00BE183D">
      <w:pPr>
        <w:pStyle w:val="Ttulo4"/>
        <w:spacing w:before="0" w:after="240" w:line="276" w:lineRule="auto"/>
        <w:ind w:firstLine="709"/>
        <w:jc w:val="both"/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Inicialmente, cabe apontar que, conforme item 11.9 do Edital, eu, Guilherme </w:t>
      </w:r>
      <w:proofErr w:type="spellStart"/>
      <w:r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Trevizoli</w:t>
      </w:r>
      <w:proofErr w:type="spellEnd"/>
      <w:r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Salomão, assumo temporariamente as responsabilidades como prego</w:t>
      </w:r>
      <w:r w:rsidRPr="00BB5E8C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eiro devido à ausência da sra. Sueli de Fátima </w:t>
      </w:r>
      <w:r w:rsidRPr="00BB5E8C">
        <w:rPr>
          <w:rFonts w:ascii="Arial" w:hAnsi="Arial" w:cs="Arial"/>
          <w:b w:val="0"/>
          <w:i w:val="0"/>
          <w:color w:val="auto"/>
          <w:sz w:val="20"/>
          <w:szCs w:val="20"/>
        </w:rPr>
        <w:t>Dellagracia Margato.</w:t>
      </w:r>
    </w:p>
    <w:p w14:paraId="66C5609B" w14:textId="44B8B616" w:rsidR="00155A0D" w:rsidRPr="00BE183D" w:rsidRDefault="00093A31" w:rsidP="00BE183D">
      <w:pPr>
        <w:pStyle w:val="Ttulo4"/>
        <w:spacing w:before="0" w:after="24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A0146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Trata-se </w:t>
      </w:r>
      <w:r w:rsidR="00464636" w:rsidRPr="00FA0146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de </w:t>
      </w:r>
      <w:r w:rsidR="00464636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análise de </w:t>
      </w:r>
      <w:r w:rsidR="00464636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recurso</w:t>
      </w:r>
      <w:r w:rsidR="00464636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e </w:t>
      </w:r>
      <w:r w:rsidR="00464636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contrarrazões</w:t>
      </w:r>
      <w:r w:rsidR="00464636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interpostos ao</w:t>
      </w:r>
      <w:r w:rsidR="009F1618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resultado do</w:t>
      </w:r>
      <w:r w:rsidR="00464636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</w:t>
      </w:r>
      <w:r w:rsidR="009D5AFE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 xml:space="preserve">Pregão </w:t>
      </w:r>
      <w:r w:rsidR="00BE183D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Eletrônico</w:t>
      </w:r>
      <w:r w:rsidR="009D5AFE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 xml:space="preserve"> n.º </w:t>
      </w:r>
      <w:r w:rsidR="00BE183D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9000</w:t>
      </w:r>
      <w:r w:rsidR="008A2912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3</w:t>
      </w:r>
      <w:r w:rsidR="009D5AFE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/</w:t>
      </w:r>
      <w:r w:rsidR="00E04537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202</w:t>
      </w:r>
      <w:r w:rsidR="008A2912">
        <w:rPr>
          <w:rFonts w:asciiTheme="minorHAnsi" w:hAnsiTheme="minorHAnsi" w:cstheme="minorHAnsi"/>
          <w:b w:val="0"/>
          <w:i w:val="0"/>
          <w:color w:val="auto"/>
          <w:sz w:val="22"/>
          <w:szCs w:val="22"/>
          <w:u w:val="single"/>
        </w:rPr>
        <w:t>5</w:t>
      </w:r>
      <w:r w:rsidR="00666AF6" w:rsidRPr="00BE183D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, cujo </w:t>
      </w:r>
      <w:r w:rsidR="00666AF6" w:rsidRPr="008A2912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objeto é </w:t>
      </w:r>
      <w:r w:rsidR="00DF777F" w:rsidRPr="008A2912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a </w:t>
      </w:r>
      <w:r w:rsidR="00232A74" w:rsidRPr="008A2912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“</w:t>
      </w:r>
      <w:r w:rsidR="008A2912" w:rsidRPr="008A2912">
        <w:rPr>
          <w:rFonts w:ascii="Arial" w:hAnsi="Arial" w:cs="Arial"/>
          <w:b w:val="0"/>
          <w:color w:val="auto"/>
          <w:sz w:val="20"/>
          <w:szCs w:val="20"/>
        </w:rPr>
        <w:t>Contratação de empresa especializada para prestação de serviços de manutenção e conservação de jardins e calçamento externo da Câmara Municipal de Santa Bárbara d’Oeste, com fornecimento de mão de obra, ferramentas, equipamentos e insumos, conforme quantitativos, áreas, locais, condições e exigências estabelecidas neste edital e demais anexos</w:t>
      </w:r>
      <w:r w:rsidR="00232A74" w:rsidRPr="008A2912">
        <w:rPr>
          <w:rFonts w:asciiTheme="minorHAnsi" w:eastAsia="Calibri" w:hAnsiTheme="minorHAnsi" w:cstheme="minorHAnsi"/>
          <w:i w:val="0"/>
          <w:color w:val="auto"/>
          <w:sz w:val="22"/>
          <w:szCs w:val="22"/>
        </w:rPr>
        <w:t>”</w:t>
      </w:r>
      <w:r w:rsidR="005B4505" w:rsidRPr="008A2912">
        <w:rPr>
          <w:rFonts w:asciiTheme="minorHAnsi" w:eastAsia="Calibri" w:hAnsiTheme="minorHAnsi" w:cstheme="minorHAnsi"/>
          <w:i w:val="0"/>
          <w:color w:val="auto"/>
          <w:sz w:val="22"/>
          <w:szCs w:val="22"/>
        </w:rPr>
        <w:t>.</w:t>
      </w:r>
    </w:p>
    <w:p w14:paraId="3D18078E" w14:textId="2358BB5C" w:rsidR="00E04537" w:rsidRDefault="00BE183D" w:rsidP="00FA0146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</w:t>
      </w:r>
      <w:r w:rsidR="00E04537" w:rsidRPr="00FA0146">
        <w:rPr>
          <w:rFonts w:asciiTheme="minorHAnsi" w:eastAsia="Calibri" w:hAnsiTheme="minorHAnsi" w:cstheme="minorHAnsi"/>
          <w:sz w:val="22"/>
          <w:szCs w:val="22"/>
        </w:rPr>
        <w:t xml:space="preserve"> empresa </w:t>
      </w:r>
      <w:r w:rsidR="008A2912" w:rsidRPr="00175705">
        <w:rPr>
          <w:rFonts w:asciiTheme="minorHAnsi" w:eastAsia="Calibri" w:hAnsiTheme="minorHAnsi" w:cstheme="minorHAnsi"/>
          <w:b/>
          <w:bCs/>
          <w:sz w:val="22"/>
          <w:szCs w:val="22"/>
        </w:rPr>
        <w:t>W M FERREIRA HIDROJATEAMENTO LTDA</w:t>
      </w:r>
      <w:r w:rsidR="008A291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04537" w:rsidRPr="00FA0146">
        <w:rPr>
          <w:rFonts w:asciiTheme="minorHAnsi" w:eastAsia="Calibri" w:hAnsiTheme="minorHAnsi" w:cstheme="minorHAnsi"/>
          <w:sz w:val="22"/>
          <w:szCs w:val="22"/>
        </w:rPr>
        <w:t>manifestou interesse em interpor recurso, apresentando-o tempestivamente</w:t>
      </w:r>
      <w:r w:rsidR="005F623F">
        <w:rPr>
          <w:rFonts w:asciiTheme="minorHAnsi" w:eastAsia="Calibri" w:hAnsiTheme="minorHAnsi" w:cstheme="minorHAnsi"/>
          <w:sz w:val="22"/>
          <w:szCs w:val="22"/>
        </w:rPr>
        <w:t xml:space="preserve"> através do sistema compras.gov em campo próprio do sistema.</w:t>
      </w:r>
    </w:p>
    <w:p w14:paraId="5DE6A5FB" w14:textId="10993C1D" w:rsidR="00E04537" w:rsidRPr="00FA0146" w:rsidRDefault="009B7E70" w:rsidP="00FA0146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A0146">
        <w:rPr>
          <w:rFonts w:asciiTheme="minorHAnsi" w:eastAsia="Calibri" w:hAnsiTheme="minorHAnsi" w:cstheme="minorHAnsi"/>
          <w:sz w:val="22"/>
          <w:szCs w:val="22"/>
        </w:rPr>
        <w:t xml:space="preserve">Em </w:t>
      </w:r>
      <w:r w:rsidR="000377AD" w:rsidRPr="00FA0146">
        <w:rPr>
          <w:rFonts w:asciiTheme="minorHAnsi" w:eastAsia="Calibri" w:hAnsiTheme="minorHAnsi" w:cstheme="minorHAnsi"/>
          <w:sz w:val="22"/>
          <w:szCs w:val="22"/>
        </w:rPr>
        <w:t>conseguinte</w:t>
      </w:r>
      <w:r w:rsidRPr="00FA0146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8A2912">
        <w:rPr>
          <w:rFonts w:asciiTheme="minorHAnsi" w:eastAsia="Calibri" w:hAnsiTheme="minorHAnsi" w:cstheme="minorHAnsi"/>
          <w:sz w:val="22"/>
          <w:szCs w:val="22"/>
        </w:rPr>
        <w:t>também através do sistema compras.gov, venceu-se o prazo para apresentação de contrarrazões sem que nenhum documento fosse apresentado</w:t>
      </w:r>
      <w:r w:rsidR="00985374">
        <w:rPr>
          <w:rFonts w:asciiTheme="minorHAnsi" w:eastAsia="Calibri" w:hAnsiTheme="minorHAnsi" w:cstheme="minorHAnsi"/>
          <w:sz w:val="22"/>
          <w:szCs w:val="22"/>
        </w:rPr>
        <w:t xml:space="preserve"> em campo próprio do sistema.</w:t>
      </w:r>
    </w:p>
    <w:p w14:paraId="747A6E63" w14:textId="1C8E0A0B" w:rsidR="00DE2F3B" w:rsidRPr="00FA0146" w:rsidRDefault="00FA0146" w:rsidP="00FA0146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FA0146">
        <w:rPr>
          <w:rFonts w:asciiTheme="minorHAnsi" w:hAnsiTheme="minorHAnsi" w:cstheme="minorHAnsi"/>
          <w:sz w:val="22"/>
          <w:szCs w:val="22"/>
        </w:rPr>
        <w:t>Portanto</w:t>
      </w:r>
      <w:r w:rsidR="00F33CCF" w:rsidRPr="00FA0146">
        <w:rPr>
          <w:rFonts w:asciiTheme="minorHAnsi" w:hAnsiTheme="minorHAnsi" w:cstheme="minorHAnsi"/>
          <w:sz w:val="22"/>
          <w:szCs w:val="22"/>
        </w:rPr>
        <w:t>, e</w:t>
      </w:r>
      <w:r w:rsidR="009F76F2" w:rsidRPr="00FA0146">
        <w:rPr>
          <w:rFonts w:asciiTheme="minorHAnsi" w:hAnsiTheme="minorHAnsi" w:cstheme="minorHAnsi"/>
          <w:sz w:val="22"/>
          <w:szCs w:val="22"/>
        </w:rPr>
        <w:t xml:space="preserve">m obediência ao </w:t>
      </w:r>
      <w:r w:rsidR="005F623F">
        <w:rPr>
          <w:rFonts w:asciiTheme="minorHAnsi" w:hAnsiTheme="minorHAnsi" w:cstheme="minorHAnsi"/>
          <w:sz w:val="22"/>
          <w:szCs w:val="22"/>
        </w:rPr>
        <w:t>§2º</w:t>
      </w:r>
      <w:r w:rsidR="009F76F2" w:rsidRPr="00FA0146">
        <w:rPr>
          <w:rFonts w:asciiTheme="minorHAnsi" w:hAnsiTheme="minorHAnsi" w:cstheme="minorHAnsi"/>
          <w:sz w:val="22"/>
          <w:szCs w:val="22"/>
        </w:rPr>
        <w:t xml:space="preserve">, artigo </w:t>
      </w:r>
      <w:r w:rsidR="005F623F">
        <w:rPr>
          <w:rFonts w:asciiTheme="minorHAnsi" w:hAnsiTheme="minorHAnsi" w:cstheme="minorHAnsi"/>
          <w:sz w:val="22"/>
          <w:szCs w:val="22"/>
        </w:rPr>
        <w:t>165 da Lei Federal 14.133/2021</w:t>
      </w:r>
      <w:r w:rsidR="009F76F2" w:rsidRPr="00FA0146">
        <w:rPr>
          <w:rFonts w:asciiTheme="minorHAnsi" w:hAnsiTheme="minorHAnsi" w:cstheme="minorHAnsi"/>
          <w:sz w:val="22"/>
          <w:szCs w:val="22"/>
        </w:rPr>
        <w:t>, est</w:t>
      </w:r>
      <w:r w:rsidRPr="00FA0146">
        <w:rPr>
          <w:rFonts w:asciiTheme="minorHAnsi" w:hAnsiTheme="minorHAnsi" w:cstheme="minorHAnsi"/>
          <w:sz w:val="22"/>
          <w:szCs w:val="22"/>
        </w:rPr>
        <w:t>e pregoeiro recebeu e analisou</w:t>
      </w:r>
      <w:r w:rsidR="009F76F2" w:rsidRPr="00FA0146">
        <w:rPr>
          <w:rFonts w:asciiTheme="minorHAnsi" w:hAnsiTheme="minorHAnsi" w:cstheme="minorHAnsi"/>
          <w:sz w:val="22"/>
          <w:szCs w:val="22"/>
        </w:rPr>
        <w:t xml:space="preserve"> a peça</w:t>
      </w:r>
      <w:r w:rsidR="008A2912">
        <w:rPr>
          <w:rFonts w:asciiTheme="minorHAnsi" w:hAnsiTheme="minorHAnsi" w:cstheme="minorHAnsi"/>
          <w:sz w:val="22"/>
          <w:szCs w:val="22"/>
        </w:rPr>
        <w:t xml:space="preserve"> apresentada</w:t>
      </w:r>
      <w:r w:rsidR="009F76F2" w:rsidRPr="00FA0146">
        <w:rPr>
          <w:rFonts w:asciiTheme="minorHAnsi" w:hAnsiTheme="minorHAnsi" w:cstheme="minorHAnsi"/>
          <w:sz w:val="22"/>
          <w:szCs w:val="22"/>
        </w:rPr>
        <w:t>, motivo pelo que passa a expor o seguinte:</w:t>
      </w:r>
    </w:p>
    <w:p w14:paraId="17E9D4DD" w14:textId="77777777" w:rsidR="00EB5810" w:rsidRDefault="00EB5810" w:rsidP="00EB58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0097D05F" w14:textId="6A9DBBF5" w:rsidR="00CE615D" w:rsidRDefault="00185280" w:rsidP="00EB58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1 - </w:t>
      </w:r>
      <w:r w:rsidR="00FA0146" w:rsidRPr="00FA014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DAS ALEGAÇÕES DA </w:t>
      </w:r>
      <w:r w:rsidR="00FA0146" w:rsidRPr="008A2912">
        <w:rPr>
          <w:rFonts w:asciiTheme="minorHAnsi" w:eastAsia="Calibri" w:hAnsiTheme="minorHAnsi" w:cstheme="minorHAnsi"/>
          <w:b/>
          <w:sz w:val="22"/>
          <w:szCs w:val="22"/>
          <w:u w:val="single"/>
        </w:rPr>
        <w:t>RECORRENTE</w:t>
      </w:r>
      <w:r w:rsidR="00985374" w:rsidRPr="008A291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-</w:t>
      </w:r>
      <w:r w:rsidR="005F623F" w:rsidRPr="008A291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8A2912" w:rsidRPr="008A2912">
        <w:rPr>
          <w:rFonts w:asciiTheme="minorHAnsi" w:eastAsia="Calibri" w:hAnsiTheme="minorHAnsi" w:cstheme="minorHAnsi"/>
          <w:b/>
          <w:sz w:val="22"/>
          <w:szCs w:val="22"/>
          <w:u w:val="single"/>
        </w:rPr>
        <w:t>W M FERREIRA HIDROJATEAMENTO LTDA</w:t>
      </w:r>
    </w:p>
    <w:p w14:paraId="29316D95" w14:textId="7C5985DD" w:rsidR="008A2912" w:rsidRDefault="0036773B" w:rsidP="00FA0146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A0146">
        <w:rPr>
          <w:rFonts w:asciiTheme="minorHAnsi" w:eastAsia="Calibri" w:hAnsiTheme="minorHAnsi" w:cstheme="minorHAnsi"/>
          <w:sz w:val="22"/>
          <w:szCs w:val="22"/>
        </w:rPr>
        <w:t xml:space="preserve">A empresa </w:t>
      </w:r>
      <w:r w:rsidR="00FA0146">
        <w:rPr>
          <w:rFonts w:asciiTheme="minorHAnsi" w:eastAsia="Calibri" w:hAnsiTheme="minorHAnsi" w:cstheme="minorHAnsi"/>
          <w:sz w:val="22"/>
          <w:szCs w:val="22"/>
        </w:rPr>
        <w:t>interpõe</w:t>
      </w:r>
      <w:r w:rsidR="00443F6E" w:rsidRPr="00FA0146">
        <w:rPr>
          <w:rFonts w:asciiTheme="minorHAnsi" w:eastAsia="Calibri" w:hAnsiTheme="minorHAnsi" w:cstheme="minorHAnsi"/>
          <w:sz w:val="22"/>
          <w:szCs w:val="22"/>
        </w:rPr>
        <w:t xml:space="preserve"> recurso onde </w:t>
      </w:r>
      <w:r w:rsidR="00FA0146">
        <w:rPr>
          <w:rFonts w:asciiTheme="minorHAnsi" w:eastAsia="Calibri" w:hAnsiTheme="minorHAnsi" w:cstheme="minorHAnsi"/>
          <w:sz w:val="22"/>
          <w:szCs w:val="22"/>
        </w:rPr>
        <w:t>questiona</w:t>
      </w:r>
      <w:r w:rsidR="00C23B0C">
        <w:rPr>
          <w:rFonts w:asciiTheme="minorHAnsi" w:eastAsia="Calibri" w:hAnsiTheme="minorHAnsi" w:cstheme="minorHAnsi"/>
          <w:sz w:val="22"/>
          <w:szCs w:val="22"/>
        </w:rPr>
        <w:t>, em suma,</w:t>
      </w:r>
      <w:r w:rsidR="00FA0146">
        <w:rPr>
          <w:rFonts w:asciiTheme="minorHAnsi" w:eastAsia="Calibri" w:hAnsiTheme="minorHAnsi" w:cstheme="minorHAnsi"/>
          <w:sz w:val="22"/>
          <w:szCs w:val="22"/>
        </w:rPr>
        <w:t xml:space="preserve"> os seguintes pontos</w:t>
      </w:r>
      <w:r w:rsidR="00FA0146" w:rsidRPr="008A2912">
        <w:rPr>
          <w:rFonts w:asciiTheme="minorHAnsi" w:eastAsia="Calibri" w:hAnsiTheme="minorHAnsi" w:cstheme="minorHAnsi"/>
          <w:sz w:val="22"/>
          <w:szCs w:val="22"/>
        </w:rPr>
        <w:t>:</w:t>
      </w:r>
      <w:r w:rsidR="001970F8" w:rsidRPr="008A291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D8B91DB" w14:textId="7D9087D8" w:rsidR="00FA0146" w:rsidRDefault="008A2912" w:rsidP="00BD4BA3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A2912">
        <w:rPr>
          <w:rFonts w:asciiTheme="minorHAnsi" w:eastAsia="Calibri" w:hAnsiTheme="minorHAnsi" w:cstheme="minorHAnsi"/>
          <w:sz w:val="22"/>
          <w:szCs w:val="22"/>
        </w:rPr>
        <w:t>Da ausência de assinatura eletrônica no documento de Declaração de Não</w:t>
      </w:r>
      <w:r w:rsidR="007C0FCE">
        <w:rPr>
          <w:rFonts w:asciiTheme="minorHAnsi" w:eastAsia="Calibri" w:hAnsiTheme="minorHAnsi" w:cstheme="minorHAnsi"/>
          <w:sz w:val="22"/>
          <w:szCs w:val="22"/>
        </w:rPr>
        <w:t>-</w:t>
      </w:r>
      <w:proofErr w:type="gramStart"/>
      <w:r w:rsidRPr="008A2912">
        <w:rPr>
          <w:rFonts w:asciiTheme="minorHAnsi" w:eastAsia="Calibri" w:hAnsiTheme="minorHAnsi" w:cstheme="minorHAnsi"/>
          <w:sz w:val="22"/>
          <w:szCs w:val="22"/>
        </w:rPr>
        <w:t xml:space="preserve">Vistoria </w:t>
      </w:r>
      <w:r w:rsidR="004A05B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gramEnd"/>
      <w:r w:rsidR="004A05BD">
        <w:rPr>
          <w:rFonts w:asciiTheme="minorHAnsi" w:eastAsia="Calibri" w:hAnsiTheme="minorHAnsi" w:cstheme="minorHAnsi"/>
          <w:sz w:val="22"/>
          <w:szCs w:val="22"/>
        </w:rPr>
        <w:t>item 7.6.1. do edital)</w:t>
      </w:r>
      <w:r w:rsidR="007C0FCE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67628041" w14:textId="6BF36E48" w:rsidR="008A2912" w:rsidRDefault="008A2912" w:rsidP="00BD4BA3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 pessoa que assina o documento não figura como responsável técnico da empresa</w:t>
      </w:r>
      <w:r w:rsidR="007C0FCE">
        <w:rPr>
          <w:rFonts w:asciiTheme="minorHAnsi" w:eastAsia="Calibri" w:hAnsiTheme="minorHAnsi" w:cstheme="minorHAnsi"/>
          <w:sz w:val="22"/>
          <w:szCs w:val="22"/>
        </w:rPr>
        <w:t xml:space="preserve"> perante o CREA</w:t>
      </w:r>
      <w:r w:rsidR="004A05BD">
        <w:rPr>
          <w:rFonts w:asciiTheme="minorHAnsi" w:eastAsia="Calibri" w:hAnsiTheme="minorHAnsi" w:cstheme="minorHAnsi"/>
          <w:sz w:val="22"/>
          <w:szCs w:val="22"/>
        </w:rPr>
        <w:t xml:space="preserve"> (item 7.6.1. do edital)</w:t>
      </w:r>
      <w:r w:rsidR="007C0FCE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1194CF63" w14:textId="4FDA865F" w:rsidR="007C0FCE" w:rsidRDefault="007C0FCE" w:rsidP="00BD4BA3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Apresentação de documentos de habilitação vencidos – cadastro no CREA/PR</w:t>
      </w:r>
      <w:r w:rsidR="004A05BD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4A05BD" w:rsidRPr="004A05BD">
        <w:rPr>
          <w:rFonts w:asciiTheme="minorHAnsi" w:eastAsia="Calibri" w:hAnsiTheme="minorHAnsi" w:cstheme="minorHAnsi"/>
          <w:sz w:val="22"/>
          <w:szCs w:val="22"/>
        </w:rPr>
        <w:t>Art. 67 da Lei 14.133/202</w:t>
      </w:r>
      <w:r w:rsidR="0054047E">
        <w:rPr>
          <w:rFonts w:asciiTheme="minorHAnsi" w:eastAsia="Calibri" w:hAnsiTheme="minorHAnsi" w:cstheme="minorHAnsi"/>
          <w:sz w:val="22"/>
          <w:szCs w:val="22"/>
        </w:rPr>
        <w:t>1</w:t>
      </w:r>
      <w:r w:rsidR="004A05BD">
        <w:rPr>
          <w:rFonts w:asciiTheme="minorHAnsi" w:eastAsia="Calibri" w:hAnsiTheme="minorHAnsi" w:cstheme="minorHAnsi"/>
          <w:sz w:val="22"/>
          <w:szCs w:val="22"/>
        </w:rPr>
        <w:t>)</w:t>
      </w:r>
      <w:r w:rsidR="0054047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2AD174E" w14:textId="420CFE6D" w:rsidR="00507BEF" w:rsidRPr="00C23B0C" w:rsidRDefault="00507BEF" w:rsidP="00C23B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80EA1CA" w14:textId="30F50179" w:rsidR="00E97D72" w:rsidRDefault="00E97D72" w:rsidP="00E97D72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Ao final de sua exposição, a proponente </w:t>
      </w:r>
      <w:r w:rsidR="00C23B0C">
        <w:rPr>
          <w:rFonts w:asciiTheme="minorHAnsi" w:eastAsia="Calibri" w:hAnsiTheme="minorHAnsi" w:cstheme="minorHAnsi"/>
          <w:sz w:val="22"/>
          <w:szCs w:val="22"/>
        </w:rPr>
        <w:t xml:space="preserve">requer a inabilitação da empresa RAK Paisagismo LTDA pelo não atendimento dos itens 2.12.4, 7.6.1. e pela apresentação de </w:t>
      </w:r>
      <w:r w:rsidR="00C23B0C" w:rsidRPr="00C23B0C">
        <w:rPr>
          <w:rFonts w:asciiTheme="minorHAnsi" w:eastAsia="Calibri" w:hAnsiTheme="minorHAnsi" w:cstheme="minorHAnsi"/>
          <w:sz w:val="22"/>
          <w:szCs w:val="22"/>
        </w:rPr>
        <w:t xml:space="preserve">documentação relativa ao rol de qualificação técnica vencido e que </w:t>
      </w:r>
      <w:r w:rsidR="00C23B0C">
        <w:rPr>
          <w:rFonts w:asciiTheme="minorHAnsi" w:eastAsia="Calibri" w:hAnsiTheme="minorHAnsi" w:cstheme="minorHAnsi"/>
          <w:sz w:val="22"/>
          <w:szCs w:val="22"/>
        </w:rPr>
        <w:t>a</w:t>
      </w:r>
      <w:r w:rsidR="00C23B0C" w:rsidRPr="00C23B0C">
        <w:rPr>
          <w:rFonts w:asciiTheme="minorHAnsi" w:eastAsia="Calibri" w:hAnsiTheme="minorHAnsi" w:cstheme="minorHAnsi"/>
          <w:sz w:val="22"/>
          <w:szCs w:val="22"/>
        </w:rPr>
        <w:t xml:space="preserve"> Recorrente seja convocada para apresentação de sua proposta e documentos de habilitação.</w:t>
      </w:r>
      <w:r w:rsidR="00C23B0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ADB410B" w14:textId="77777777" w:rsidR="00985374" w:rsidRDefault="00985374" w:rsidP="00FA0146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25E38273" w14:textId="0939B7CB" w:rsidR="0038121B" w:rsidRDefault="00185280" w:rsidP="00EB58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 xml:space="preserve">2. </w:t>
      </w:r>
      <w:r w:rsidR="0038121B" w:rsidRPr="00FA0146">
        <w:rPr>
          <w:rFonts w:asciiTheme="minorHAnsi" w:eastAsia="Calibri" w:hAnsiTheme="minorHAnsi" w:cstheme="minorHAnsi"/>
          <w:b/>
          <w:sz w:val="22"/>
          <w:szCs w:val="22"/>
          <w:u w:val="single"/>
        </w:rPr>
        <w:t>DAS CONTRARRAZÕES DA RECORRIDA</w:t>
      </w:r>
    </w:p>
    <w:p w14:paraId="24104F3E" w14:textId="00ADD594" w:rsidR="00EB5810" w:rsidRPr="004A05BD" w:rsidRDefault="004A05BD" w:rsidP="00FA0146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4A05BD">
        <w:rPr>
          <w:rFonts w:asciiTheme="minorHAnsi" w:eastAsia="Calibri" w:hAnsiTheme="minorHAnsi" w:cstheme="minorHAnsi"/>
          <w:bCs/>
          <w:sz w:val="22"/>
          <w:szCs w:val="22"/>
        </w:rPr>
        <w:t>A recorrida não apresentou contrarrazões.</w:t>
      </w:r>
    </w:p>
    <w:p w14:paraId="1EBD5811" w14:textId="77777777" w:rsidR="007B2903" w:rsidRDefault="007B2903" w:rsidP="00FA0146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0C5263C0" w14:textId="1B89060B" w:rsidR="00EB5810" w:rsidRDefault="00185280" w:rsidP="00185280">
      <w:pPr>
        <w:autoSpaceDE w:val="0"/>
        <w:autoSpaceDN w:val="0"/>
        <w:adjustRightInd w:val="0"/>
        <w:spacing w:after="240"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3. </w:t>
      </w:r>
      <w:r w:rsidR="00EB5810">
        <w:rPr>
          <w:rFonts w:asciiTheme="minorHAnsi" w:eastAsia="Calibri" w:hAnsiTheme="minorHAnsi" w:cstheme="minorHAnsi"/>
          <w:b/>
          <w:sz w:val="22"/>
          <w:szCs w:val="22"/>
          <w:u w:val="single"/>
        </w:rPr>
        <w:t>DO JULGAMENTO DO PREGOEIRO</w:t>
      </w:r>
    </w:p>
    <w:p w14:paraId="4F1449E4" w14:textId="658F95B7" w:rsidR="0054047E" w:rsidRDefault="00BD4BA3" w:rsidP="00BD4BA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(A) </w:t>
      </w:r>
      <w:r w:rsidR="00872428" w:rsidRPr="00185280">
        <w:rPr>
          <w:rFonts w:asciiTheme="minorHAnsi" w:eastAsia="Calibri" w:hAnsiTheme="minorHAnsi" w:cstheme="minorHAnsi"/>
          <w:b/>
          <w:sz w:val="22"/>
          <w:szCs w:val="22"/>
        </w:rPr>
        <w:t xml:space="preserve">Quanto a </w:t>
      </w:r>
      <w:r w:rsidR="00C23B0C" w:rsidRPr="00C23B0C">
        <w:rPr>
          <w:rFonts w:asciiTheme="minorHAnsi" w:eastAsia="Calibri" w:hAnsiTheme="minorHAnsi" w:cstheme="minorHAnsi"/>
          <w:b/>
          <w:bCs/>
          <w:sz w:val="22"/>
          <w:szCs w:val="22"/>
        </w:rPr>
        <w:t>ausência de assinatura eletrônica no documento de Declaração de Não-Vistoria</w:t>
      </w:r>
      <w:r w:rsidR="00C23B0C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p w14:paraId="42DA2C62" w14:textId="4226BC8C" w:rsidR="00872428" w:rsidRDefault="00C23B0C" w:rsidP="00DE69BC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</w:t>
      </w:r>
      <w:r w:rsidR="0054047E">
        <w:rPr>
          <w:rFonts w:asciiTheme="minorHAnsi" w:eastAsia="Calibri" w:hAnsiTheme="minorHAnsi" w:cstheme="minorHAnsi"/>
          <w:sz w:val="22"/>
          <w:szCs w:val="22"/>
        </w:rPr>
        <w:t>or</w:t>
      </w:r>
      <w:r>
        <w:rPr>
          <w:rFonts w:asciiTheme="minorHAnsi" w:eastAsia="Calibri" w:hAnsiTheme="minorHAnsi" w:cstheme="minorHAnsi"/>
          <w:sz w:val="22"/>
          <w:szCs w:val="22"/>
        </w:rPr>
        <w:t xml:space="preserve"> motivos ignorados, a recorrida entregou um documento intitulado “Declaração Unificada”, que engloba diversas declarações exigidas pelo edital, mas que são geradas automaticamente pelo sistema, no relatório de declarações, conforme documento anexo. </w:t>
      </w:r>
      <w:r w:rsidR="0054047E">
        <w:rPr>
          <w:rFonts w:asciiTheme="minorHAnsi" w:eastAsia="Calibri" w:hAnsiTheme="minorHAnsi" w:cstheme="minorHAnsi"/>
          <w:sz w:val="22"/>
          <w:szCs w:val="22"/>
        </w:rPr>
        <w:t xml:space="preserve">Devido sua aparente redundância, tal documento não foi analisado detalhadamente pelo pregoeiro e pela comissão. Durante a análise da habilitação, foi notada a ausência do documento de declaração de não vistoria, que logo foi localizado entre os termos da </w:t>
      </w:r>
      <w:r w:rsidR="001752BE">
        <w:rPr>
          <w:rFonts w:asciiTheme="minorHAnsi" w:eastAsia="Calibri" w:hAnsiTheme="minorHAnsi" w:cstheme="minorHAnsi"/>
          <w:sz w:val="22"/>
          <w:szCs w:val="22"/>
        </w:rPr>
        <w:t>D</w:t>
      </w:r>
      <w:r w:rsidR="0054047E">
        <w:rPr>
          <w:rFonts w:asciiTheme="minorHAnsi" w:eastAsia="Calibri" w:hAnsiTheme="minorHAnsi" w:cstheme="minorHAnsi"/>
          <w:sz w:val="22"/>
          <w:szCs w:val="22"/>
        </w:rPr>
        <w:t xml:space="preserve">eclaração </w:t>
      </w:r>
      <w:r w:rsidR="001752BE">
        <w:rPr>
          <w:rFonts w:asciiTheme="minorHAnsi" w:eastAsia="Calibri" w:hAnsiTheme="minorHAnsi" w:cstheme="minorHAnsi"/>
          <w:sz w:val="22"/>
          <w:szCs w:val="22"/>
        </w:rPr>
        <w:t>U</w:t>
      </w:r>
      <w:r w:rsidR="0054047E">
        <w:rPr>
          <w:rFonts w:asciiTheme="minorHAnsi" w:eastAsia="Calibri" w:hAnsiTheme="minorHAnsi" w:cstheme="minorHAnsi"/>
          <w:sz w:val="22"/>
          <w:szCs w:val="22"/>
        </w:rPr>
        <w:t>nificada</w:t>
      </w:r>
      <w:r w:rsidR="00BB511E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B511E" w:rsidRPr="00BB511E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que também consta </w:t>
      </w:r>
      <w:r w:rsidR="001752BE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no mesmo arquivo da </w:t>
      </w:r>
      <w:r w:rsidR="00BB511E" w:rsidRPr="00BB511E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proposta de preços detalhada</w:t>
      </w:r>
      <w:r w:rsidR="001752BE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, e esta encontra-se assinada digitalmente </w:t>
      </w:r>
      <w:r w:rsidR="001752BE" w:rsidRPr="001752BE">
        <w:rPr>
          <w:rFonts w:asciiTheme="minorHAnsi" w:eastAsia="Calibri" w:hAnsiTheme="minorHAnsi" w:cstheme="minorHAnsi"/>
          <w:sz w:val="22"/>
          <w:szCs w:val="22"/>
        </w:rPr>
        <w:t>(foram apresentadas duas cópias</w:t>
      </w:r>
      <w:r w:rsidR="001752BE">
        <w:rPr>
          <w:rFonts w:asciiTheme="minorHAnsi" w:eastAsia="Calibri" w:hAnsiTheme="minorHAnsi" w:cstheme="minorHAnsi"/>
          <w:sz w:val="22"/>
          <w:szCs w:val="22"/>
        </w:rPr>
        <w:t>, mas uma delas está assinada digitalmente e foi verificada junto ao validador ITI</w:t>
      </w:r>
      <w:r w:rsidR="001752BE" w:rsidRPr="001752BE">
        <w:rPr>
          <w:rFonts w:asciiTheme="minorHAnsi" w:eastAsia="Calibri" w:hAnsiTheme="minorHAnsi" w:cstheme="minorHAnsi"/>
          <w:sz w:val="22"/>
          <w:szCs w:val="22"/>
        </w:rPr>
        <w:t>).</w:t>
      </w:r>
      <w:r w:rsidR="001752BE">
        <w:rPr>
          <w:rFonts w:asciiTheme="minorHAnsi" w:eastAsia="Calibri" w:hAnsiTheme="minorHAnsi" w:cstheme="minorHAnsi"/>
          <w:sz w:val="22"/>
          <w:szCs w:val="22"/>
        </w:rPr>
        <w:t xml:space="preserve"> Ao final do arquivo da proposta de preços, existe, inclusive, uma declaração nos moldes do Anexo V, também assinada digitalmente.</w:t>
      </w:r>
    </w:p>
    <w:p w14:paraId="14E2414E" w14:textId="5C4861AF" w:rsidR="00C23B0C" w:rsidRPr="009D3EEA" w:rsidRDefault="0054047E" w:rsidP="00DE69BC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Por motivo de organização de argumento, trataremos a terceira questão antes da segunda questão, a saber:</w:t>
      </w:r>
    </w:p>
    <w:p w14:paraId="14C28676" w14:textId="77777777" w:rsidR="00BD4BA3" w:rsidRDefault="00BD4BA3" w:rsidP="00BD4BA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(B) </w:t>
      </w:r>
      <w:r w:rsidR="00AB1C56" w:rsidRPr="0054047E">
        <w:rPr>
          <w:rFonts w:asciiTheme="minorHAnsi" w:eastAsia="Calibri" w:hAnsiTheme="minorHAnsi" w:cstheme="minorHAnsi"/>
          <w:b/>
          <w:sz w:val="22"/>
          <w:szCs w:val="22"/>
        </w:rPr>
        <w:t xml:space="preserve">Quanto a </w:t>
      </w:r>
      <w:r w:rsidR="0054047E" w:rsidRPr="0054047E">
        <w:rPr>
          <w:rFonts w:asciiTheme="minorHAnsi" w:eastAsia="Calibri" w:hAnsiTheme="minorHAnsi" w:cstheme="minorHAnsi"/>
          <w:b/>
          <w:sz w:val="22"/>
          <w:szCs w:val="22"/>
        </w:rPr>
        <w:t>apresentação de documentos de habilitação vencidos</w:t>
      </w:r>
      <w:r w:rsidR="0054047E" w:rsidRPr="0054047E">
        <w:rPr>
          <w:rFonts w:asciiTheme="minorHAnsi" w:eastAsia="Calibri" w:hAnsiTheme="minorHAnsi" w:cstheme="minorHAnsi"/>
          <w:sz w:val="22"/>
          <w:szCs w:val="22"/>
        </w:rPr>
        <w:t xml:space="preserve"> – cadastro no CREA/PR (Art. 67 da Lei 14.133/202</w:t>
      </w:r>
      <w:r w:rsidR="0054047E">
        <w:rPr>
          <w:rFonts w:asciiTheme="minorHAnsi" w:eastAsia="Calibri" w:hAnsiTheme="minorHAnsi" w:cstheme="minorHAnsi"/>
          <w:sz w:val="22"/>
          <w:szCs w:val="22"/>
        </w:rPr>
        <w:t>1</w:t>
      </w:r>
      <w:r w:rsidR="0054047E" w:rsidRPr="0054047E">
        <w:rPr>
          <w:rFonts w:asciiTheme="minorHAnsi" w:eastAsia="Calibri" w:hAnsiTheme="minorHAnsi" w:cstheme="minorHAnsi"/>
          <w:sz w:val="22"/>
          <w:szCs w:val="22"/>
        </w:rPr>
        <w:t>)</w:t>
      </w:r>
      <w:r w:rsidR="0054047E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4293E9E0" w14:textId="2AE0FFD0" w:rsidR="0054047E" w:rsidRDefault="0054047E" w:rsidP="002A49AC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Cabe destacar que o artigo 67 da Lei 14.133/2021</w:t>
      </w:r>
      <w:r w:rsidR="00205701">
        <w:rPr>
          <w:rFonts w:asciiTheme="minorHAnsi" w:eastAsia="Calibri" w:hAnsiTheme="minorHAnsi" w:cstheme="minorHAnsi"/>
          <w:sz w:val="22"/>
          <w:szCs w:val="22"/>
        </w:rPr>
        <w:t xml:space="preserve"> elenca uma lista não taxativa que limita quais os documentos podem ser solicitados – ou seja, cabe à administração determinar quais documentos serão exigidos, definidos em edital. Neste caso concreto, a redação apresentada é:</w:t>
      </w:r>
    </w:p>
    <w:p w14:paraId="1E5AF3CB" w14:textId="35CC67E0" w:rsidR="00205701" w:rsidRPr="00205701" w:rsidRDefault="00205701" w:rsidP="00205701">
      <w:pPr>
        <w:pStyle w:val="PargrafodaLista"/>
        <w:numPr>
          <w:ilvl w:val="1"/>
          <w:numId w:val="42"/>
        </w:numPr>
        <w:ind w:left="2268" w:firstLine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5701">
        <w:rPr>
          <w:rFonts w:ascii="Arial" w:hAnsi="Arial" w:cs="Arial"/>
          <w:b/>
          <w:bCs/>
          <w:i/>
          <w:iCs/>
          <w:sz w:val="18"/>
          <w:szCs w:val="18"/>
        </w:rPr>
        <w:t>Qualificação Técnico-Operacional (da empresa licitante):</w:t>
      </w:r>
    </w:p>
    <w:p w14:paraId="22476699" w14:textId="77777777" w:rsidR="00205701" w:rsidRPr="00205701" w:rsidRDefault="00205701" w:rsidP="00205701">
      <w:pPr>
        <w:pStyle w:val="PargrafodaLista"/>
        <w:ind w:left="226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837C9BC" w14:textId="77777777" w:rsidR="00205701" w:rsidRPr="00205701" w:rsidRDefault="00205701" w:rsidP="00205701">
      <w:pPr>
        <w:tabs>
          <w:tab w:val="left" w:pos="1134"/>
        </w:tabs>
        <w:ind w:left="2268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05701">
        <w:rPr>
          <w:rFonts w:ascii="Arial" w:hAnsi="Arial" w:cs="Arial"/>
          <w:b/>
          <w:bCs/>
          <w:i/>
          <w:iCs/>
          <w:sz w:val="18"/>
          <w:szCs w:val="18"/>
        </w:rPr>
        <w:t xml:space="preserve">7.9.1.  </w:t>
      </w:r>
      <w:r w:rsidRPr="00205701">
        <w:rPr>
          <w:rFonts w:ascii="Arial" w:hAnsi="Arial" w:cs="Arial"/>
          <w:bCs/>
          <w:i/>
          <w:iCs/>
          <w:sz w:val="18"/>
          <w:szCs w:val="18"/>
        </w:rPr>
        <w:t>Um ou mais a</w:t>
      </w:r>
      <w:r w:rsidRPr="00205701">
        <w:rPr>
          <w:rFonts w:ascii="Arial" w:hAnsi="Arial" w:cs="Arial"/>
          <w:i/>
          <w:iCs/>
          <w:sz w:val="18"/>
          <w:szCs w:val="18"/>
        </w:rPr>
        <w:t xml:space="preserve">testado(s), em nome da licitante, fornecido(s) por pessoa jurídica de direito público ou privado, para fins de comprovação da capacidade técnico-operacional, que comprove(m) o fornecimento anterior do objeto licitado ou similar, </w:t>
      </w:r>
      <w:r w:rsidRPr="00205701">
        <w:rPr>
          <w:rFonts w:ascii="Arial" w:hAnsi="Arial" w:cs="Arial"/>
          <w:b/>
          <w:i/>
          <w:iCs/>
          <w:sz w:val="18"/>
          <w:szCs w:val="18"/>
        </w:rPr>
        <w:t xml:space="preserve">abrangendo, no mínimo, </w:t>
      </w:r>
    </w:p>
    <w:p w14:paraId="7F42F614" w14:textId="77777777" w:rsidR="00205701" w:rsidRPr="00205701" w:rsidRDefault="00205701" w:rsidP="00205701">
      <w:pPr>
        <w:tabs>
          <w:tab w:val="left" w:pos="1134"/>
        </w:tabs>
        <w:ind w:left="2268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b/>
          <w:i/>
          <w:iCs/>
          <w:sz w:val="18"/>
          <w:szCs w:val="18"/>
        </w:rPr>
        <w:tab/>
      </w:r>
      <w:r w:rsidRPr="00205701">
        <w:rPr>
          <w:rFonts w:ascii="Arial" w:hAnsi="Arial" w:cs="Arial"/>
          <w:b/>
          <w:i/>
          <w:iCs/>
          <w:sz w:val="18"/>
          <w:szCs w:val="18"/>
        </w:rPr>
        <w:tab/>
        <w:t xml:space="preserve">a) </w:t>
      </w:r>
      <w:r w:rsidRPr="00205701">
        <w:rPr>
          <w:rFonts w:ascii="Arial" w:hAnsi="Arial" w:cs="Arial"/>
          <w:i/>
          <w:iCs/>
          <w:sz w:val="18"/>
          <w:szCs w:val="18"/>
        </w:rPr>
        <w:t xml:space="preserve">1000 m² de área atendida por serviços de manutenção de gramados planos; </w:t>
      </w:r>
    </w:p>
    <w:p w14:paraId="46E753BA" w14:textId="77777777" w:rsidR="00205701" w:rsidRPr="00205701" w:rsidRDefault="00205701" w:rsidP="00205701">
      <w:pPr>
        <w:tabs>
          <w:tab w:val="left" w:pos="1134"/>
        </w:tabs>
        <w:ind w:left="2268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i/>
          <w:iCs/>
          <w:sz w:val="18"/>
          <w:szCs w:val="18"/>
        </w:rPr>
        <w:tab/>
      </w:r>
      <w:r w:rsidRPr="00205701">
        <w:rPr>
          <w:rFonts w:ascii="Arial" w:hAnsi="Arial" w:cs="Arial"/>
          <w:i/>
          <w:iCs/>
          <w:sz w:val="18"/>
          <w:szCs w:val="18"/>
        </w:rPr>
        <w:tab/>
      </w:r>
      <w:r w:rsidRPr="00205701">
        <w:rPr>
          <w:rFonts w:ascii="Arial" w:hAnsi="Arial" w:cs="Arial"/>
          <w:b/>
          <w:i/>
          <w:iCs/>
          <w:sz w:val="18"/>
          <w:szCs w:val="18"/>
        </w:rPr>
        <w:t>b)</w:t>
      </w:r>
      <w:r w:rsidRPr="00205701">
        <w:rPr>
          <w:rFonts w:ascii="Arial" w:hAnsi="Arial" w:cs="Arial"/>
          <w:i/>
          <w:iCs/>
          <w:sz w:val="18"/>
          <w:szCs w:val="18"/>
        </w:rPr>
        <w:t xml:space="preserve"> 300 m² de área atendida por serviços de manutenção de gramados em talude;</w:t>
      </w:r>
    </w:p>
    <w:p w14:paraId="3383E727" w14:textId="77777777" w:rsidR="00205701" w:rsidRPr="00205701" w:rsidRDefault="00205701" w:rsidP="00205701">
      <w:pPr>
        <w:tabs>
          <w:tab w:val="left" w:pos="1134"/>
        </w:tabs>
        <w:ind w:left="2268"/>
        <w:jc w:val="both"/>
        <w:rPr>
          <w:rFonts w:ascii="Arial" w:hAnsi="Arial" w:cs="Arial"/>
          <w:b/>
          <w:i/>
          <w:iCs/>
          <w:sz w:val="18"/>
          <w:szCs w:val="18"/>
          <w:highlight w:val="yellow"/>
        </w:rPr>
      </w:pPr>
      <w:r w:rsidRPr="00205701">
        <w:rPr>
          <w:rFonts w:ascii="Arial" w:hAnsi="Arial" w:cs="Arial"/>
          <w:i/>
          <w:iCs/>
          <w:sz w:val="18"/>
          <w:szCs w:val="18"/>
        </w:rPr>
        <w:tab/>
      </w:r>
      <w:r w:rsidRPr="00205701">
        <w:rPr>
          <w:rFonts w:ascii="Arial" w:hAnsi="Arial" w:cs="Arial"/>
          <w:i/>
          <w:iCs/>
          <w:sz w:val="18"/>
          <w:szCs w:val="18"/>
        </w:rPr>
        <w:tab/>
      </w:r>
      <w:r w:rsidRPr="00205701">
        <w:rPr>
          <w:rFonts w:ascii="Arial" w:hAnsi="Arial" w:cs="Arial"/>
          <w:b/>
          <w:i/>
          <w:iCs/>
          <w:sz w:val="18"/>
          <w:szCs w:val="18"/>
        </w:rPr>
        <w:t>c)</w:t>
      </w:r>
      <w:r w:rsidRPr="00205701">
        <w:rPr>
          <w:rFonts w:ascii="Arial" w:hAnsi="Arial" w:cs="Arial"/>
          <w:i/>
          <w:iCs/>
          <w:sz w:val="18"/>
          <w:szCs w:val="18"/>
        </w:rPr>
        <w:t xml:space="preserve"> 398 m² de varrição de passeios e arruamentos </w:t>
      </w:r>
    </w:p>
    <w:p w14:paraId="6647A22D" w14:textId="77777777" w:rsidR="00205701" w:rsidRPr="00205701" w:rsidRDefault="00205701" w:rsidP="00205701">
      <w:pPr>
        <w:tabs>
          <w:tab w:val="left" w:pos="1134"/>
        </w:tabs>
        <w:ind w:left="2268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5257E79" w14:textId="77777777" w:rsidR="00205701" w:rsidRPr="00205701" w:rsidRDefault="00205701" w:rsidP="00205701">
      <w:pPr>
        <w:tabs>
          <w:tab w:val="left" w:pos="1134"/>
        </w:tabs>
        <w:ind w:left="2268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b/>
          <w:i/>
          <w:iCs/>
          <w:sz w:val="18"/>
          <w:szCs w:val="18"/>
        </w:rPr>
        <w:t xml:space="preserve">7.9.1.1. </w:t>
      </w:r>
      <w:r w:rsidRPr="00205701">
        <w:rPr>
          <w:rFonts w:ascii="Arial" w:hAnsi="Arial" w:cs="Arial"/>
          <w:i/>
          <w:iCs/>
          <w:sz w:val="18"/>
          <w:szCs w:val="18"/>
        </w:rPr>
        <w:t>Será aceita a somatória de atestados para atingir o quantitativo exigido, porém um dos atestados deverá contemplar 30% das áreas solicitadas no item 7.9.1.</w:t>
      </w:r>
    </w:p>
    <w:p w14:paraId="6A71D7E6" w14:textId="77777777" w:rsidR="00205701" w:rsidRPr="00205701" w:rsidRDefault="00205701" w:rsidP="00205701">
      <w:pPr>
        <w:ind w:left="226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C747AA2" w14:textId="77777777" w:rsidR="00205701" w:rsidRPr="00205701" w:rsidRDefault="00205701" w:rsidP="00205701">
      <w:pPr>
        <w:ind w:left="2268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b/>
          <w:bCs/>
          <w:i/>
          <w:iCs/>
          <w:sz w:val="18"/>
          <w:szCs w:val="18"/>
        </w:rPr>
        <w:t>7.9.1.2.</w:t>
      </w:r>
      <w:r w:rsidRPr="00205701">
        <w:rPr>
          <w:rFonts w:ascii="Arial" w:hAnsi="Arial" w:cs="Arial"/>
          <w:i/>
          <w:iCs/>
          <w:sz w:val="18"/>
          <w:szCs w:val="18"/>
        </w:rPr>
        <w:t xml:space="preserve"> Poderá ser admitida, para fins de comprovação de quantitativo mínimo de serviço, a apresentação de diferentes atestados de serviços executados de forma concomitante, pois essa situação se equivale, para fins de comprovação de capacidade técnico-operacional, a uma única contratação.</w:t>
      </w:r>
    </w:p>
    <w:p w14:paraId="0B9157CB" w14:textId="77777777" w:rsidR="00205701" w:rsidRPr="00205701" w:rsidRDefault="00205701" w:rsidP="00205701">
      <w:pPr>
        <w:ind w:left="2268"/>
        <w:jc w:val="both"/>
        <w:rPr>
          <w:rFonts w:ascii="Arial" w:hAnsi="Arial" w:cs="Arial"/>
          <w:i/>
          <w:iCs/>
          <w:sz w:val="18"/>
          <w:szCs w:val="18"/>
        </w:rPr>
      </w:pPr>
    </w:p>
    <w:p w14:paraId="61E1D066" w14:textId="77777777" w:rsidR="00205701" w:rsidRPr="00205701" w:rsidRDefault="00205701" w:rsidP="00205701">
      <w:pPr>
        <w:ind w:left="2268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b/>
          <w:i/>
          <w:iCs/>
          <w:sz w:val="18"/>
          <w:szCs w:val="18"/>
        </w:rPr>
        <w:t>7.9.1.3.</w:t>
      </w:r>
      <w:r w:rsidRPr="00205701">
        <w:rPr>
          <w:rFonts w:ascii="Arial" w:hAnsi="Arial" w:cs="Arial"/>
          <w:i/>
          <w:iCs/>
          <w:sz w:val="18"/>
          <w:szCs w:val="18"/>
        </w:rPr>
        <w:t xml:space="preserve"> Será admitido atestados com descrição equivalente aos serviços exigidos na qualificação técnico-operacional.</w:t>
      </w:r>
    </w:p>
    <w:p w14:paraId="2F04C81A" w14:textId="77777777" w:rsidR="00205701" w:rsidRPr="00205701" w:rsidRDefault="00205701" w:rsidP="00205701">
      <w:pPr>
        <w:pStyle w:val="PargrafodaLista"/>
        <w:numPr>
          <w:ilvl w:val="2"/>
          <w:numId w:val="41"/>
        </w:numPr>
        <w:spacing w:before="240" w:after="240"/>
        <w:ind w:left="2268" w:firstLine="0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i/>
          <w:iCs/>
          <w:sz w:val="18"/>
          <w:szCs w:val="18"/>
        </w:rPr>
        <w:lastRenderedPageBreak/>
        <w:t>O atestado emitido por pessoas jurídicas de direito público ou privado, exigido no subitem 7.9.1.</w:t>
      </w:r>
      <w:r w:rsidRPr="00205701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205701">
        <w:rPr>
          <w:rFonts w:ascii="Arial" w:hAnsi="Arial" w:cs="Arial"/>
          <w:i/>
          <w:iCs/>
          <w:sz w:val="18"/>
          <w:szCs w:val="18"/>
        </w:rPr>
        <w:t>deve estar em papel timbrado, com a devida identificação e assinatura do responsável, devendo possuir ainda os nomes e telefones dos contatos do emissor.</w:t>
      </w:r>
    </w:p>
    <w:p w14:paraId="657D4843" w14:textId="77777777" w:rsidR="00205701" w:rsidRPr="00205701" w:rsidRDefault="00205701" w:rsidP="00205701">
      <w:pPr>
        <w:pStyle w:val="PargrafodaLista"/>
        <w:numPr>
          <w:ilvl w:val="2"/>
          <w:numId w:val="41"/>
        </w:numPr>
        <w:spacing w:before="240" w:after="240"/>
        <w:ind w:left="2268" w:firstLine="0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i/>
          <w:iCs/>
          <w:sz w:val="18"/>
          <w:szCs w:val="18"/>
        </w:rPr>
        <w:t>Os atestados de capacidade operacional poderão ser objeto de diligência, a critério desta Câmara Municipal, para verificação de autenticidade de seu conteúdo.</w:t>
      </w:r>
    </w:p>
    <w:p w14:paraId="124A22BC" w14:textId="77777777" w:rsidR="00205701" w:rsidRPr="00205701" w:rsidRDefault="00205701" w:rsidP="00205701">
      <w:pPr>
        <w:pStyle w:val="PargrafodaLista"/>
        <w:numPr>
          <w:ilvl w:val="2"/>
          <w:numId w:val="41"/>
        </w:numPr>
        <w:spacing w:before="240" w:after="240"/>
        <w:ind w:left="2268" w:firstLine="0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205701">
        <w:rPr>
          <w:rFonts w:ascii="Arial" w:hAnsi="Arial" w:cs="Arial"/>
          <w:i/>
          <w:iCs/>
          <w:sz w:val="18"/>
          <w:szCs w:val="18"/>
        </w:rPr>
        <w:t>Caso a assinatura do atestado de capacidade técnica não seja eletrônica, o Pregoeiro poderá realizar diligência nos termos do item 7.9.3. ao invés de invalidar o documento.</w:t>
      </w:r>
    </w:p>
    <w:p w14:paraId="58F64AFC" w14:textId="52A77060" w:rsidR="006D5499" w:rsidRDefault="00205701" w:rsidP="0054047E">
      <w:pPr>
        <w:autoSpaceDE w:val="0"/>
        <w:autoSpaceDN w:val="0"/>
        <w:adjustRightInd w:val="0"/>
        <w:spacing w:after="240" w:line="276" w:lineRule="auto"/>
        <w:ind w:firstLine="85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Conforme edital, não há exigência de apresentação de registro no CREA, motivo pelo qual o documento vencido não foi considerado como fator para a desclassificação da </w:t>
      </w:r>
      <w:r w:rsidRPr="003D1956">
        <w:rPr>
          <w:rFonts w:asciiTheme="minorHAnsi" w:eastAsia="Calibri" w:hAnsiTheme="minorHAnsi" w:cstheme="minorHAnsi"/>
          <w:sz w:val="22"/>
          <w:szCs w:val="22"/>
        </w:rPr>
        <w:t xml:space="preserve">empresa. </w:t>
      </w:r>
      <w:r w:rsidR="00175705" w:rsidRPr="003D1956">
        <w:rPr>
          <w:rFonts w:asciiTheme="minorHAnsi" w:eastAsia="Calibri" w:hAnsiTheme="minorHAnsi" w:cstheme="minorHAnsi"/>
          <w:sz w:val="22"/>
          <w:szCs w:val="22"/>
        </w:rPr>
        <w:t>Este documento não foi exigido pois</w:t>
      </w:r>
      <w:r w:rsidRPr="003D1956">
        <w:rPr>
          <w:rFonts w:asciiTheme="minorHAnsi" w:eastAsia="Calibri" w:hAnsiTheme="minorHAnsi" w:cstheme="minorHAnsi"/>
          <w:sz w:val="22"/>
          <w:szCs w:val="22"/>
        </w:rPr>
        <w:t xml:space="preserve"> não é necessário o registro no CREA para</w:t>
      </w:r>
      <w:r w:rsidR="002A49AC" w:rsidRPr="003D1956">
        <w:rPr>
          <w:rFonts w:asciiTheme="minorHAnsi" w:eastAsia="Calibri" w:hAnsiTheme="minorHAnsi" w:cstheme="minorHAnsi"/>
          <w:sz w:val="22"/>
          <w:szCs w:val="22"/>
        </w:rPr>
        <w:t xml:space="preserve"> empresas que realizam </w:t>
      </w:r>
      <w:r w:rsidRPr="003D1956">
        <w:rPr>
          <w:rFonts w:asciiTheme="minorHAnsi" w:eastAsia="Calibri" w:hAnsiTheme="minorHAnsi" w:cstheme="minorHAnsi"/>
          <w:sz w:val="22"/>
          <w:szCs w:val="22"/>
        </w:rPr>
        <w:t xml:space="preserve">atividades </w:t>
      </w:r>
      <w:r w:rsidR="00175705" w:rsidRPr="003D1956">
        <w:rPr>
          <w:rFonts w:asciiTheme="minorHAnsi" w:eastAsia="Calibri" w:hAnsiTheme="minorHAnsi" w:cstheme="minorHAnsi"/>
          <w:sz w:val="22"/>
          <w:szCs w:val="22"/>
        </w:rPr>
        <w:t xml:space="preserve">ordinárias </w:t>
      </w:r>
      <w:r w:rsidRPr="003D1956">
        <w:rPr>
          <w:rFonts w:asciiTheme="minorHAnsi" w:eastAsia="Calibri" w:hAnsiTheme="minorHAnsi" w:cstheme="minorHAnsi"/>
          <w:sz w:val="22"/>
          <w:szCs w:val="22"/>
        </w:rPr>
        <w:t>de jardinagem, de modo que essa exigência caracterizaria um custo desnecessário para as empresas e restrição injustificada da concorrência.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6EEA655" w14:textId="5129AA23" w:rsidR="00BB5E8C" w:rsidRDefault="00BD4BA3" w:rsidP="00BD4BA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(C) Q</w:t>
      </w:r>
      <w:r w:rsidR="00CE25A2" w:rsidRPr="00CE25A2">
        <w:rPr>
          <w:rFonts w:asciiTheme="minorHAnsi" w:eastAsia="Calibri" w:hAnsiTheme="minorHAnsi" w:cstheme="minorHAnsi"/>
          <w:b/>
          <w:bCs/>
          <w:sz w:val="22"/>
          <w:szCs w:val="22"/>
        </w:rPr>
        <w:t>uestionamento sobre a pessoa que assina o documento não figura como responsável técnico da empresa perante o CREA (item 7.6.1. do edital)</w:t>
      </w:r>
      <w:r w:rsidR="00BB5E8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</w:p>
    <w:p w14:paraId="7D59D5C2" w14:textId="06516C36" w:rsidR="00CE25A2" w:rsidRDefault="00BB5E8C" w:rsidP="00CE25A2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 recorrida efetivamente apresentou a declaração assinada por outra pessoa que não o responsável técnico. C</w:t>
      </w:r>
      <w:r w:rsidR="00CE25A2">
        <w:rPr>
          <w:rFonts w:asciiTheme="minorHAnsi" w:eastAsia="Calibri" w:hAnsiTheme="minorHAnsi" w:cstheme="minorHAnsi"/>
          <w:sz w:val="22"/>
          <w:szCs w:val="22"/>
        </w:rPr>
        <w:t xml:space="preserve">abe </w:t>
      </w:r>
      <w:r>
        <w:rPr>
          <w:rFonts w:asciiTheme="minorHAnsi" w:eastAsia="Calibri" w:hAnsiTheme="minorHAnsi" w:cstheme="minorHAnsi"/>
          <w:sz w:val="22"/>
          <w:szCs w:val="22"/>
        </w:rPr>
        <w:t xml:space="preserve">a informação </w:t>
      </w:r>
      <w:r w:rsidR="00CE25A2">
        <w:rPr>
          <w:rFonts w:asciiTheme="minorHAnsi" w:eastAsia="Calibri" w:hAnsiTheme="minorHAnsi" w:cstheme="minorHAnsi"/>
          <w:sz w:val="22"/>
          <w:szCs w:val="22"/>
        </w:rPr>
        <w:t>de que o registro no CREA não é determinante ou vinculante para esta decisão conforme exposto anteriormente.</w:t>
      </w:r>
      <w:r w:rsidR="00BD4BA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E20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D4BA3">
        <w:rPr>
          <w:rFonts w:asciiTheme="minorHAnsi" w:eastAsia="Calibri" w:hAnsiTheme="minorHAnsi" w:cstheme="minorHAnsi"/>
          <w:sz w:val="22"/>
          <w:szCs w:val="22"/>
        </w:rPr>
        <w:t xml:space="preserve">Também cabe explicitar </w:t>
      </w:r>
      <w:r w:rsidR="007E2040">
        <w:rPr>
          <w:rFonts w:asciiTheme="minorHAnsi" w:eastAsia="Calibri" w:hAnsiTheme="minorHAnsi" w:cstheme="minorHAnsi"/>
          <w:sz w:val="22"/>
          <w:szCs w:val="22"/>
        </w:rPr>
        <w:t xml:space="preserve">que a recorrida conta com os serviços de um </w:t>
      </w:r>
      <w:r w:rsidR="00BD4BA3">
        <w:rPr>
          <w:rFonts w:asciiTheme="minorHAnsi" w:eastAsia="Calibri" w:hAnsiTheme="minorHAnsi" w:cstheme="minorHAnsi"/>
          <w:sz w:val="22"/>
          <w:szCs w:val="22"/>
        </w:rPr>
        <w:t xml:space="preserve">profissional da área da engenharia agrônoma como </w:t>
      </w:r>
      <w:r w:rsidR="007E2040">
        <w:rPr>
          <w:rFonts w:asciiTheme="minorHAnsi" w:eastAsia="Calibri" w:hAnsiTheme="minorHAnsi" w:cstheme="minorHAnsi"/>
          <w:sz w:val="22"/>
          <w:szCs w:val="22"/>
        </w:rPr>
        <w:t>responsável técnico</w:t>
      </w:r>
      <w:r>
        <w:rPr>
          <w:rFonts w:asciiTheme="minorHAnsi" w:eastAsia="Calibri" w:hAnsiTheme="minorHAnsi" w:cstheme="minorHAnsi"/>
          <w:sz w:val="22"/>
          <w:szCs w:val="22"/>
        </w:rPr>
        <w:t xml:space="preserve"> – o mesmo que consta no citado registro do CREA </w:t>
      </w:r>
      <w:r w:rsidR="007E2040">
        <w:rPr>
          <w:rFonts w:asciiTheme="minorHAnsi" w:eastAsia="Calibri" w:hAnsiTheme="minorHAnsi" w:cstheme="minorHAnsi"/>
          <w:sz w:val="22"/>
          <w:szCs w:val="22"/>
        </w:rPr>
        <w:t>– inclusive utilizando documentos e</w:t>
      </w:r>
      <w:r>
        <w:rPr>
          <w:rFonts w:asciiTheme="minorHAnsi" w:eastAsia="Calibri" w:hAnsiTheme="minorHAnsi" w:cstheme="minorHAnsi"/>
          <w:sz w:val="22"/>
          <w:szCs w:val="22"/>
        </w:rPr>
        <w:t>m</w:t>
      </w:r>
      <w:r w:rsidR="007E2040">
        <w:rPr>
          <w:rFonts w:asciiTheme="minorHAnsi" w:eastAsia="Calibri" w:hAnsiTheme="minorHAnsi" w:cstheme="minorHAnsi"/>
          <w:sz w:val="22"/>
          <w:szCs w:val="22"/>
        </w:rPr>
        <w:t xml:space="preserve"> nome dele para </w:t>
      </w:r>
      <w:r w:rsidR="00BD4BA3">
        <w:rPr>
          <w:rFonts w:asciiTheme="minorHAnsi" w:eastAsia="Calibri" w:hAnsiTheme="minorHAnsi" w:cstheme="minorHAnsi"/>
          <w:sz w:val="22"/>
          <w:szCs w:val="22"/>
        </w:rPr>
        <w:t>compor seus documentos de</w:t>
      </w:r>
      <w:r w:rsidR="007E2040">
        <w:rPr>
          <w:rFonts w:asciiTheme="minorHAnsi" w:eastAsia="Calibri" w:hAnsiTheme="minorHAnsi" w:cstheme="minorHAnsi"/>
          <w:sz w:val="22"/>
          <w:szCs w:val="22"/>
        </w:rPr>
        <w:t xml:space="preserve"> capacidade técnica.  </w:t>
      </w:r>
    </w:p>
    <w:p w14:paraId="55C74AD2" w14:textId="1566669B" w:rsidR="00870433" w:rsidRDefault="00BD4BA3" w:rsidP="00CE25A2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Conforme elucidado no questionamento A, o documento de</w:t>
      </w:r>
      <w:r w:rsidR="0087043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70433" w:rsidRPr="00870433">
        <w:rPr>
          <w:rFonts w:asciiTheme="minorHAnsi" w:eastAsia="Calibri" w:hAnsiTheme="minorHAnsi" w:cstheme="minorHAnsi"/>
          <w:i/>
          <w:iCs/>
          <w:sz w:val="22"/>
          <w:szCs w:val="22"/>
        </w:rPr>
        <w:t>Declaração de não vistoria</w:t>
      </w:r>
      <w:r w:rsidR="00870433">
        <w:rPr>
          <w:rFonts w:asciiTheme="minorHAnsi" w:eastAsia="Calibri" w:hAnsiTheme="minorHAnsi" w:cstheme="minorHAnsi"/>
          <w:sz w:val="22"/>
          <w:szCs w:val="22"/>
        </w:rPr>
        <w:t xml:space="preserve"> foi assinado digitalmente pelo sócio proprietário da empresa, que</w:t>
      </w:r>
      <w:r w:rsidR="009677AB">
        <w:rPr>
          <w:rFonts w:asciiTheme="minorHAnsi" w:eastAsia="Calibri" w:hAnsiTheme="minorHAnsi" w:cstheme="minorHAnsi"/>
          <w:sz w:val="22"/>
          <w:szCs w:val="22"/>
        </w:rPr>
        <w:t>, dentro da leitura dos conselhos de classe</w:t>
      </w:r>
      <w:r w:rsidR="00870433">
        <w:rPr>
          <w:rFonts w:asciiTheme="minorHAnsi" w:eastAsia="Calibri" w:hAnsiTheme="minorHAnsi" w:cstheme="minorHAnsi"/>
          <w:sz w:val="22"/>
          <w:szCs w:val="22"/>
        </w:rPr>
        <w:t xml:space="preserve">, não </w:t>
      </w:r>
      <w:r w:rsidR="009677AB">
        <w:rPr>
          <w:rFonts w:asciiTheme="minorHAnsi" w:eastAsia="Calibri" w:hAnsiTheme="minorHAnsi" w:cstheme="minorHAnsi"/>
          <w:sz w:val="22"/>
          <w:szCs w:val="22"/>
        </w:rPr>
        <w:t xml:space="preserve">se </w:t>
      </w:r>
      <w:r w:rsidR="00870433">
        <w:rPr>
          <w:rFonts w:asciiTheme="minorHAnsi" w:eastAsia="Calibri" w:hAnsiTheme="minorHAnsi" w:cstheme="minorHAnsi"/>
          <w:sz w:val="22"/>
          <w:szCs w:val="22"/>
        </w:rPr>
        <w:t>configura como responsável técnico</w:t>
      </w:r>
      <w:r w:rsidR="009677AB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656D9F">
        <w:rPr>
          <w:rFonts w:asciiTheme="minorHAnsi" w:eastAsia="Calibri" w:hAnsiTheme="minorHAnsi" w:cstheme="minorHAnsi"/>
          <w:sz w:val="22"/>
          <w:szCs w:val="22"/>
        </w:rPr>
        <w:t>No livro</w:t>
      </w:r>
      <w:r w:rsidR="009677AB">
        <w:rPr>
          <w:rFonts w:asciiTheme="minorHAnsi" w:eastAsia="Calibri" w:hAnsiTheme="minorHAnsi" w:cstheme="minorHAnsi"/>
          <w:sz w:val="22"/>
          <w:szCs w:val="22"/>
        </w:rPr>
        <w:t xml:space="preserve"> Licitações e Contratos</w:t>
      </w:r>
      <w:r w:rsidR="00656D9F">
        <w:rPr>
          <w:rFonts w:asciiTheme="minorHAnsi" w:eastAsia="Calibri" w:hAnsiTheme="minorHAnsi" w:cstheme="minorHAnsi"/>
          <w:sz w:val="22"/>
          <w:szCs w:val="22"/>
        </w:rPr>
        <w:t xml:space="preserve"> – Orientações e Jurisprudências</w:t>
      </w:r>
      <w:r w:rsidR="009677AB">
        <w:rPr>
          <w:rFonts w:asciiTheme="minorHAnsi" w:eastAsia="Calibri" w:hAnsiTheme="minorHAnsi" w:cstheme="minorHAnsi"/>
          <w:sz w:val="22"/>
          <w:szCs w:val="22"/>
        </w:rPr>
        <w:t xml:space="preserve"> do TCU, entretanto,</w:t>
      </w:r>
      <w:r w:rsidR="00656D9F">
        <w:rPr>
          <w:rFonts w:asciiTheme="minorHAnsi" w:eastAsia="Calibri" w:hAnsiTheme="minorHAnsi" w:cstheme="minorHAnsi"/>
          <w:sz w:val="22"/>
          <w:szCs w:val="22"/>
        </w:rPr>
        <w:t xml:space="preserve"> na página 583</w:t>
      </w:r>
      <w:r w:rsidR="009677A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56D9F">
        <w:rPr>
          <w:rFonts w:asciiTheme="minorHAnsi" w:eastAsia="Calibri" w:hAnsiTheme="minorHAnsi" w:cstheme="minorHAnsi"/>
          <w:sz w:val="22"/>
          <w:szCs w:val="22"/>
        </w:rPr>
        <w:t>nos diz que</w:t>
      </w:r>
    </w:p>
    <w:p w14:paraId="053452C8" w14:textId="7DF1B4C7" w:rsidR="00656D9F" w:rsidRPr="00656D9F" w:rsidRDefault="00656D9F" w:rsidP="00656D9F">
      <w:pPr>
        <w:autoSpaceDE w:val="0"/>
        <w:autoSpaceDN w:val="0"/>
        <w:adjustRightInd w:val="0"/>
        <w:spacing w:after="240" w:line="276" w:lineRule="auto"/>
        <w:ind w:left="2268"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</w:rPr>
        <w:t>“</w:t>
      </w:r>
      <w:r w:rsidRPr="00656D9F">
        <w:rPr>
          <w:rFonts w:asciiTheme="minorHAnsi" w:eastAsia="Calibri" w:hAnsiTheme="minorHAnsi" w:cstheme="minorHAnsi"/>
          <w:i/>
          <w:iCs/>
          <w:sz w:val="20"/>
          <w:szCs w:val="20"/>
        </w:rPr>
        <w:t>Com exceção da contratação de obras e serviços de engenharia, a Administração pode aceitar provas alternativas de que o profissional possui conhecimento técnico e experiência prática na execução de serviços com características semelhantes. Isso deve ser previsto em regulamento</w:t>
      </w:r>
      <w:r>
        <w:rPr>
          <w:rStyle w:val="Refdenotaderodap"/>
          <w:rFonts w:asciiTheme="minorHAnsi" w:eastAsia="Calibri" w:hAnsiTheme="minorHAnsi" w:cstheme="minorHAnsi"/>
          <w:i/>
          <w:iCs/>
          <w:sz w:val="20"/>
          <w:szCs w:val="20"/>
        </w:rPr>
        <w:footnoteReference w:id="1"/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.” </w:t>
      </w:r>
    </w:p>
    <w:p w14:paraId="55EEAE01" w14:textId="71EC9F4A" w:rsidR="00656D9F" w:rsidRDefault="00656D9F" w:rsidP="00CE25A2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Seria possível aceitar a assinatura do sócio administrador</w:t>
      </w:r>
      <w:r w:rsidR="0087043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caso houvesse regulamento ou regras explicitas no edital, já que este é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via de regra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, o responsável pela empresa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e portanto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deve, salvo melhor juízo, possuir o know-how.  Entretanto não há essa previsão no edital e, havendo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inclusive  diversas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menções aos custos de um responsável técnico sobre os serviços, não parece razoável abrir essa interpretação neste caso concreto. </w:t>
      </w:r>
      <w:r w:rsidR="00F450CC">
        <w:rPr>
          <w:rFonts w:asciiTheme="minorHAnsi" w:eastAsia="Calibri" w:hAnsiTheme="minorHAnsi" w:cstheme="minorHAnsi"/>
          <w:sz w:val="22"/>
          <w:szCs w:val="22"/>
        </w:rPr>
        <w:t>Por outro lado</w:t>
      </w:r>
      <w:r>
        <w:rPr>
          <w:rFonts w:asciiTheme="minorHAnsi" w:eastAsia="Calibri" w:hAnsiTheme="minorHAnsi" w:cstheme="minorHAnsi"/>
          <w:sz w:val="22"/>
          <w:szCs w:val="22"/>
        </w:rPr>
        <w:t xml:space="preserve">, também não </w:t>
      </w:r>
      <w:r w:rsidR="00F450CC">
        <w:rPr>
          <w:rFonts w:asciiTheme="minorHAnsi" w:eastAsia="Calibri" w:hAnsiTheme="minorHAnsi" w:cstheme="minorHAnsi"/>
          <w:sz w:val="22"/>
          <w:szCs w:val="22"/>
        </w:rPr>
        <w:t>é</w:t>
      </w:r>
      <w:r>
        <w:rPr>
          <w:rFonts w:asciiTheme="minorHAnsi" w:eastAsia="Calibri" w:hAnsiTheme="minorHAnsi" w:cstheme="minorHAnsi"/>
          <w:sz w:val="22"/>
          <w:szCs w:val="22"/>
        </w:rPr>
        <w:t xml:space="preserve"> razoável a desclassificação sumária da </w:t>
      </w:r>
      <w:r>
        <w:rPr>
          <w:rFonts w:asciiTheme="minorHAnsi" w:eastAsia="Calibri" w:hAnsiTheme="minorHAnsi" w:cstheme="minorHAnsi"/>
          <w:sz w:val="22"/>
          <w:szCs w:val="22"/>
        </w:rPr>
        <w:lastRenderedPageBreak/>
        <w:t>licitante por uma falha que não desqualifica a empresa</w:t>
      </w:r>
      <w:r w:rsidR="006D12AC">
        <w:rPr>
          <w:rFonts w:asciiTheme="minorHAnsi" w:eastAsia="Calibri" w:hAnsiTheme="minorHAnsi" w:cstheme="minorHAnsi"/>
          <w:sz w:val="22"/>
          <w:szCs w:val="22"/>
        </w:rPr>
        <w:t xml:space="preserve">, devendo o </w:t>
      </w:r>
      <w:r w:rsidR="00F450CC">
        <w:rPr>
          <w:rFonts w:asciiTheme="minorHAnsi" w:eastAsia="Calibri" w:hAnsiTheme="minorHAnsi" w:cstheme="minorHAnsi"/>
          <w:sz w:val="22"/>
          <w:szCs w:val="22"/>
        </w:rPr>
        <w:t>procedimento ser guiado</w:t>
      </w:r>
      <w:r w:rsidR="006D12AC">
        <w:rPr>
          <w:rFonts w:asciiTheme="minorHAnsi" w:eastAsia="Calibri" w:hAnsiTheme="minorHAnsi" w:cstheme="minorHAnsi"/>
          <w:sz w:val="22"/>
          <w:szCs w:val="22"/>
        </w:rPr>
        <w:t xml:space="preserve"> pelo </w:t>
      </w:r>
      <w:r w:rsidR="00F450CC">
        <w:rPr>
          <w:rFonts w:asciiTheme="minorHAnsi" w:eastAsia="Calibri" w:hAnsiTheme="minorHAnsi" w:cstheme="minorHAnsi"/>
          <w:sz w:val="22"/>
          <w:szCs w:val="22"/>
        </w:rPr>
        <w:t>princípio</w:t>
      </w:r>
      <w:r w:rsidR="006D12AC">
        <w:rPr>
          <w:rFonts w:asciiTheme="minorHAnsi" w:eastAsia="Calibri" w:hAnsiTheme="minorHAnsi" w:cstheme="minorHAnsi"/>
          <w:sz w:val="22"/>
          <w:szCs w:val="22"/>
        </w:rPr>
        <w:t xml:space="preserve"> do formalismo moderado, conforme a lição apresentada por Odete Medauar</w:t>
      </w:r>
      <w:r w:rsidR="006D12AC">
        <w:rPr>
          <w:rStyle w:val="Refdenotaderodap"/>
          <w:rFonts w:asciiTheme="minorHAnsi" w:eastAsia="Calibri" w:hAnsiTheme="minorHAnsi" w:cstheme="minorHAnsi"/>
          <w:sz w:val="22"/>
          <w:szCs w:val="22"/>
        </w:rPr>
        <w:footnoteReference w:id="2"/>
      </w:r>
      <w:r w:rsidR="006D12AC">
        <w:rPr>
          <w:rFonts w:asciiTheme="minorHAnsi" w:eastAsia="Calibri" w:hAnsiTheme="minorHAnsi" w:cstheme="minorHAnsi"/>
          <w:sz w:val="22"/>
          <w:szCs w:val="22"/>
        </w:rPr>
        <w:t>, ao mencionar que:</w:t>
      </w:r>
    </w:p>
    <w:p w14:paraId="359E9618" w14:textId="78CAD0E8" w:rsidR="006D12AC" w:rsidRDefault="006D12AC" w:rsidP="006D12AC">
      <w:pPr>
        <w:autoSpaceDE w:val="0"/>
        <w:autoSpaceDN w:val="0"/>
        <w:adjustRightInd w:val="0"/>
        <w:spacing w:after="240" w:line="276" w:lineRule="auto"/>
        <w:ind w:left="2268"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6D12AC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“Exemplo de Formalismo Exacerbado, destoante desse </w:t>
      </w:r>
      <w:r w:rsidR="005A6237" w:rsidRPr="006D12AC">
        <w:rPr>
          <w:rFonts w:asciiTheme="minorHAnsi" w:eastAsia="Calibri" w:hAnsiTheme="minorHAnsi" w:cstheme="minorHAnsi"/>
          <w:i/>
          <w:iCs/>
          <w:sz w:val="20"/>
          <w:szCs w:val="20"/>
        </w:rPr>
        <w:t>princípio</w:t>
      </w:r>
      <w:r w:rsidRPr="006D12AC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[do formalismo moderado], encontra-se no processo licitatório, ao se inabilitar ou desclassificar participantes por lapsos em documentos não essenciais, passíveis de serem supridos ou esclarecidos em diligências; assim agindo, deixa-se em segundo plano a verdadeira finalidade do processo, que é o confronto do maior número de proposta com o fim de aumentar a possibilidade de celebrar contrato adequado ao interesse público.”</w:t>
      </w:r>
    </w:p>
    <w:p w14:paraId="239227B7" w14:textId="0872542C" w:rsidR="005A6237" w:rsidRPr="003D1956" w:rsidRDefault="005A6237" w:rsidP="005A6237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0"/>
          <w:szCs w:val="20"/>
        </w:rPr>
        <w:tab/>
      </w:r>
      <w:r w:rsidRPr="003D1956">
        <w:rPr>
          <w:rFonts w:asciiTheme="minorHAnsi" w:eastAsia="Calibri" w:hAnsiTheme="minorHAnsi" w:cstheme="minorHAnsi"/>
          <w:sz w:val="22"/>
          <w:szCs w:val="22"/>
        </w:rPr>
        <w:t>No mesmo diapasão, o TCU nos diz que:</w:t>
      </w:r>
    </w:p>
    <w:p w14:paraId="05862279" w14:textId="2F90AC6B" w:rsidR="005A6237" w:rsidRPr="003D1956" w:rsidRDefault="005A6237" w:rsidP="005A6237">
      <w:pPr>
        <w:autoSpaceDE w:val="0"/>
        <w:autoSpaceDN w:val="0"/>
        <w:adjustRightInd w:val="0"/>
        <w:spacing w:after="240" w:line="276" w:lineRule="auto"/>
        <w:ind w:left="2268"/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3D1956">
        <w:rPr>
          <w:rFonts w:asciiTheme="minorHAnsi" w:eastAsia="Calibri" w:hAnsiTheme="minorHAnsi" w:cstheme="minorHAnsi"/>
          <w:i/>
          <w:iCs/>
          <w:sz w:val="20"/>
          <w:szCs w:val="20"/>
        </w:rPr>
        <w:t>Importante mencionar que há reiterada jurisprudência do TCU no sentido de que a Administração preze pelos princípios do formalismo moderado e da razoabilidade na condução das licitações, evitando inabilitar um licitante sem antes lhe dar a oportunidade de corrigir eventuais falhas em seus documentos de habilitação, desde que essas falhas sejam sanáveis e atestem uma condição pré-existente à abertura da sessão pública do certame. Isso porque inabilitar um licitante por mera falha sanável resulta em objetivo dissociado do interesse público, em que o procedimento licitatório (meio) prevalece sobre o resultado almejado, que é a obtenção da proposta mais vantajosa para a Administração (fim</w:t>
      </w:r>
      <w:proofErr w:type="gramStart"/>
      <w:r w:rsidRPr="003D1956">
        <w:rPr>
          <w:rFonts w:asciiTheme="minorHAnsi" w:eastAsia="Calibri" w:hAnsiTheme="minorHAnsi" w:cstheme="minorHAnsi"/>
          <w:i/>
          <w:iCs/>
          <w:sz w:val="20"/>
          <w:szCs w:val="20"/>
        </w:rPr>
        <w:t>) .</w:t>
      </w:r>
      <w:proofErr w:type="gramEnd"/>
      <w:r w:rsidRPr="003D1956">
        <w:rPr>
          <w:rFonts w:asciiTheme="minorHAnsi" w:eastAsia="Calibri" w:hAnsiTheme="minorHAnsi" w:cstheme="minorHAnsi"/>
          <w:sz w:val="20"/>
          <w:szCs w:val="20"/>
        </w:rPr>
        <w:t xml:space="preserve"> [</w:t>
      </w:r>
      <w:r w:rsidRPr="003D1956">
        <w:rPr>
          <w:sz w:val="20"/>
          <w:szCs w:val="20"/>
        </w:rPr>
        <w:t>Licitações e Contratos – Orientações e Jurisprudência do TCU - 5a-Edicao - 29-08-2024, fls. 554 e 555]</w:t>
      </w:r>
    </w:p>
    <w:p w14:paraId="08FD9C01" w14:textId="43641A3D" w:rsidR="00D752B7" w:rsidRPr="003D1956" w:rsidRDefault="00D752B7" w:rsidP="00CE25A2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1956">
        <w:rPr>
          <w:rFonts w:asciiTheme="minorHAnsi" w:eastAsia="Calibri" w:hAnsiTheme="minorHAnsi" w:cstheme="minorHAnsi"/>
          <w:sz w:val="22"/>
          <w:szCs w:val="22"/>
        </w:rPr>
        <w:t>A administração também não pode ignorar que as informações fornecidas no edital permitiram uma interpretação equivocada. O modelo de declaração de não vistoria (Anexo V) fornecido no Edital, o campo de assinatura indica o nome do representante legal. Isso ocorre pois nas contratações que não envolvem atividades exclusivas de classe, o representante legal é aquele responsável por assumir a expertise e dispensar a visita técnica.</w:t>
      </w:r>
    </w:p>
    <w:p w14:paraId="086C40D7" w14:textId="045697C0" w:rsidR="00656D9F" w:rsidRPr="003D1956" w:rsidRDefault="00F450CC" w:rsidP="00CE25A2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1956">
        <w:rPr>
          <w:rFonts w:asciiTheme="minorHAnsi" w:eastAsia="Calibri" w:hAnsiTheme="minorHAnsi" w:cstheme="minorHAnsi"/>
          <w:sz w:val="22"/>
          <w:szCs w:val="22"/>
        </w:rPr>
        <w:t xml:space="preserve">Destaca-se que o pregoeiro deveria ter verificado a situação e agido com diligência para a regularização da declaração. </w:t>
      </w:r>
    </w:p>
    <w:p w14:paraId="697315A5" w14:textId="77777777" w:rsidR="00F450CC" w:rsidRPr="003D1956" w:rsidRDefault="00F450CC" w:rsidP="007B290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7DF1997" w14:textId="4AC101E9" w:rsidR="00312C36" w:rsidRPr="003D1956" w:rsidRDefault="00E66554" w:rsidP="007B290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D1956">
        <w:rPr>
          <w:rFonts w:asciiTheme="minorHAnsi" w:eastAsia="Calibri" w:hAnsiTheme="minorHAnsi" w:cstheme="minorHAnsi"/>
          <w:b/>
          <w:sz w:val="22"/>
          <w:szCs w:val="22"/>
        </w:rPr>
        <w:t>CONCLUSÃO</w:t>
      </w:r>
      <w:r w:rsidR="007B2903" w:rsidRPr="003D1956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</w:p>
    <w:p w14:paraId="4B877014" w14:textId="07A8E51B" w:rsidR="002621AC" w:rsidRPr="003D1956" w:rsidRDefault="00323229" w:rsidP="00F450CC">
      <w:pPr>
        <w:spacing w:after="24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D1956">
        <w:rPr>
          <w:rFonts w:asciiTheme="minorHAnsi" w:eastAsia="Calibri" w:hAnsiTheme="minorHAnsi" w:cstheme="minorHAnsi"/>
          <w:sz w:val="22"/>
          <w:szCs w:val="22"/>
        </w:rPr>
        <w:tab/>
        <w:t xml:space="preserve">Em suma, entendo que os recursos </w:t>
      </w:r>
      <w:r w:rsidR="00F450CC" w:rsidRPr="003D1956">
        <w:rPr>
          <w:rFonts w:asciiTheme="minorHAnsi" w:eastAsia="Calibri" w:hAnsiTheme="minorHAnsi" w:cstheme="minorHAnsi"/>
          <w:sz w:val="22"/>
          <w:szCs w:val="22"/>
        </w:rPr>
        <w:t>A e B apresentados</w:t>
      </w:r>
      <w:r w:rsidRPr="003D195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8041E" w:rsidRPr="003D1956">
        <w:rPr>
          <w:rFonts w:asciiTheme="minorHAnsi" w:eastAsia="Calibri" w:hAnsiTheme="minorHAnsi" w:cstheme="minorHAnsi"/>
          <w:sz w:val="22"/>
          <w:szCs w:val="22"/>
        </w:rPr>
        <w:t xml:space="preserve">não devem prosperar </w:t>
      </w:r>
      <w:r w:rsidR="00F450CC" w:rsidRPr="003D1956">
        <w:rPr>
          <w:rFonts w:asciiTheme="minorHAnsi" w:eastAsia="Calibri" w:hAnsiTheme="minorHAnsi" w:cstheme="minorHAnsi"/>
          <w:sz w:val="22"/>
          <w:szCs w:val="22"/>
        </w:rPr>
        <w:t>por não possuírem embasamento legal ou editalício que os sustentem.</w:t>
      </w:r>
    </w:p>
    <w:p w14:paraId="7A3A08F3" w14:textId="7624CE1B" w:rsidR="00D752B7" w:rsidRPr="003D1956" w:rsidRDefault="00D752B7" w:rsidP="00D752B7">
      <w:pPr>
        <w:spacing w:after="24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D1956">
        <w:rPr>
          <w:rFonts w:asciiTheme="minorHAnsi" w:hAnsiTheme="minorHAnsi" w:cstheme="minorHAnsi"/>
          <w:sz w:val="22"/>
          <w:szCs w:val="22"/>
        </w:rPr>
        <w:t xml:space="preserve">O apontamento C encontra fundamento, de modo que o pregoeiro não pode aceitar a declaração assinada por outra pessoa que não o responsável técnico, dado as condições do edital, mas também não pode aceitar o pedido do recurso para inabilitação do licitante. </w:t>
      </w:r>
    </w:p>
    <w:p w14:paraId="18B19128" w14:textId="77777777" w:rsidR="00D752B7" w:rsidRPr="003D1956" w:rsidRDefault="00D752B7" w:rsidP="00D752B7">
      <w:pPr>
        <w:spacing w:after="24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D1956">
        <w:rPr>
          <w:rFonts w:asciiTheme="minorHAnsi" w:hAnsiTheme="minorHAnsi" w:cstheme="minorHAnsi"/>
          <w:sz w:val="22"/>
          <w:szCs w:val="22"/>
        </w:rPr>
        <w:t xml:space="preserve">Desta forma, </w:t>
      </w:r>
      <w:r w:rsidRPr="003D1956">
        <w:rPr>
          <w:rFonts w:asciiTheme="minorHAnsi" w:hAnsiTheme="minorHAnsi" w:cstheme="minorHAnsi"/>
          <w:b/>
          <w:bCs/>
          <w:sz w:val="22"/>
          <w:szCs w:val="22"/>
        </w:rPr>
        <w:t>reconheço</w:t>
      </w:r>
      <w:r w:rsidRPr="003D1956">
        <w:rPr>
          <w:rFonts w:asciiTheme="minorHAnsi" w:hAnsiTheme="minorHAnsi" w:cstheme="minorHAnsi"/>
          <w:sz w:val="22"/>
          <w:szCs w:val="22"/>
        </w:rPr>
        <w:t xml:space="preserve"> o recurso por ser tempestivo e </w:t>
      </w:r>
      <w:r w:rsidRPr="003D1956">
        <w:rPr>
          <w:rFonts w:asciiTheme="minorHAnsi" w:hAnsiTheme="minorHAnsi" w:cstheme="minorHAnsi"/>
          <w:b/>
          <w:bCs/>
          <w:sz w:val="22"/>
          <w:szCs w:val="22"/>
        </w:rPr>
        <w:t>JULGO PARCIALMENTE</w:t>
      </w:r>
      <w:r w:rsidRPr="003D1956">
        <w:rPr>
          <w:rFonts w:asciiTheme="minorHAnsi" w:hAnsiTheme="minorHAnsi" w:cstheme="minorHAnsi"/>
          <w:sz w:val="22"/>
          <w:szCs w:val="22"/>
        </w:rPr>
        <w:t xml:space="preserve"> o pedido, para não aceitar o documento da forma apresentada. </w:t>
      </w:r>
    </w:p>
    <w:p w14:paraId="4088253A" w14:textId="1F764E96" w:rsidR="00D752B7" w:rsidRPr="003D1956" w:rsidRDefault="00D752B7" w:rsidP="00D752B7">
      <w:pPr>
        <w:spacing w:after="24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D1956">
        <w:rPr>
          <w:rFonts w:asciiTheme="minorHAnsi" w:hAnsiTheme="minorHAnsi" w:cstheme="minorHAnsi"/>
          <w:sz w:val="22"/>
          <w:szCs w:val="22"/>
        </w:rPr>
        <w:lastRenderedPageBreak/>
        <w:t xml:space="preserve">No entanto, atendendo ao interesse público de ampla competitividade, aos princípios de razoabilidade, economicidade e formalismo moderado, bem como ao item 8.9 do edital,  ante as razões apresentadas e detidamente analisadas à luz dos mandamentos legais, </w:t>
      </w:r>
      <w:r w:rsidRPr="003D1956">
        <w:rPr>
          <w:rFonts w:asciiTheme="minorHAnsi" w:hAnsiTheme="minorHAnsi" w:cstheme="minorHAnsi"/>
          <w:b/>
          <w:bCs/>
          <w:sz w:val="22"/>
          <w:szCs w:val="22"/>
        </w:rPr>
        <w:t>deverá a sessão ser reestabelecida na fase de habilitação para diligência</w:t>
      </w:r>
      <w:r w:rsidRPr="003D1956">
        <w:rPr>
          <w:rFonts w:asciiTheme="minorHAnsi" w:hAnsiTheme="minorHAnsi" w:cstheme="minorHAnsi"/>
          <w:sz w:val="22"/>
          <w:szCs w:val="22"/>
        </w:rPr>
        <w:t xml:space="preserve"> quanto a assinatura pelo Responsável Técnico da Declaração de Não Vistoria da empresa RAK Paisagismo Ltda, devendo essa ser desclassificada caso não apresente a declaração nos termos do edital.</w:t>
      </w:r>
    </w:p>
    <w:p w14:paraId="2457AAC2" w14:textId="19006DFC" w:rsidR="00530F9A" w:rsidRPr="003D1956" w:rsidRDefault="00D34A8C" w:rsidP="00D752B7">
      <w:pPr>
        <w:spacing w:after="24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D1956">
        <w:rPr>
          <w:rFonts w:asciiTheme="minorHAnsi" w:hAnsiTheme="minorHAnsi" w:cstheme="minorHAnsi"/>
          <w:sz w:val="22"/>
          <w:szCs w:val="22"/>
        </w:rPr>
        <w:t>Respeitosamente,</w:t>
      </w:r>
    </w:p>
    <w:p w14:paraId="48E8F426" w14:textId="744175CB" w:rsidR="001F5C83" w:rsidRPr="003D1956" w:rsidRDefault="001F55F4" w:rsidP="001F55F4">
      <w:pPr>
        <w:spacing w:after="2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D1956">
        <w:rPr>
          <w:rFonts w:asciiTheme="minorHAnsi" w:hAnsiTheme="minorHAnsi" w:cstheme="minorHAnsi"/>
          <w:sz w:val="22"/>
          <w:szCs w:val="22"/>
        </w:rPr>
        <w:t>S</w:t>
      </w:r>
      <w:r w:rsidR="00107BE9" w:rsidRPr="003D1956">
        <w:rPr>
          <w:rFonts w:asciiTheme="minorHAnsi" w:hAnsiTheme="minorHAnsi" w:cstheme="minorHAnsi"/>
          <w:sz w:val="22"/>
          <w:szCs w:val="22"/>
        </w:rPr>
        <w:t xml:space="preserve">anta </w:t>
      </w:r>
      <w:r w:rsidR="00F9653A" w:rsidRPr="003D1956">
        <w:rPr>
          <w:rFonts w:asciiTheme="minorHAnsi" w:hAnsiTheme="minorHAnsi" w:cstheme="minorHAnsi"/>
          <w:sz w:val="22"/>
          <w:szCs w:val="22"/>
        </w:rPr>
        <w:t xml:space="preserve">Bárbara d’Oeste, </w:t>
      </w:r>
      <w:r w:rsidR="005A6237" w:rsidRPr="003D1956">
        <w:rPr>
          <w:rFonts w:asciiTheme="minorHAnsi" w:hAnsiTheme="minorHAnsi" w:cstheme="minorHAnsi"/>
          <w:sz w:val="22"/>
          <w:szCs w:val="22"/>
        </w:rPr>
        <w:t>17</w:t>
      </w:r>
      <w:r w:rsidR="00F9653A" w:rsidRPr="003D1956">
        <w:rPr>
          <w:rFonts w:asciiTheme="minorHAnsi" w:hAnsiTheme="minorHAnsi" w:cstheme="minorHAnsi"/>
          <w:sz w:val="22"/>
          <w:szCs w:val="22"/>
        </w:rPr>
        <w:t xml:space="preserve"> </w:t>
      </w:r>
      <w:r w:rsidR="00107BE9" w:rsidRPr="003D1956">
        <w:rPr>
          <w:rFonts w:asciiTheme="minorHAnsi" w:hAnsiTheme="minorHAnsi" w:cstheme="minorHAnsi"/>
          <w:sz w:val="22"/>
          <w:szCs w:val="22"/>
        </w:rPr>
        <w:t xml:space="preserve">de </w:t>
      </w:r>
      <w:r w:rsidR="005A6237" w:rsidRPr="003D1956">
        <w:rPr>
          <w:rFonts w:asciiTheme="minorHAnsi" w:hAnsiTheme="minorHAnsi" w:cstheme="minorHAnsi"/>
          <w:sz w:val="22"/>
          <w:szCs w:val="22"/>
        </w:rPr>
        <w:t>julho</w:t>
      </w:r>
      <w:r w:rsidR="00107BE9" w:rsidRPr="003D1956">
        <w:rPr>
          <w:rFonts w:asciiTheme="minorHAnsi" w:hAnsiTheme="minorHAnsi" w:cstheme="minorHAnsi"/>
          <w:sz w:val="22"/>
          <w:szCs w:val="22"/>
        </w:rPr>
        <w:t xml:space="preserve"> de 20</w:t>
      </w:r>
      <w:r w:rsidR="00323229" w:rsidRPr="003D1956">
        <w:rPr>
          <w:rFonts w:asciiTheme="minorHAnsi" w:hAnsiTheme="minorHAnsi" w:cstheme="minorHAnsi"/>
          <w:sz w:val="22"/>
          <w:szCs w:val="22"/>
        </w:rPr>
        <w:t>2</w:t>
      </w:r>
      <w:r w:rsidR="005A6237" w:rsidRPr="003D1956">
        <w:rPr>
          <w:rFonts w:asciiTheme="minorHAnsi" w:hAnsiTheme="minorHAnsi" w:cstheme="minorHAnsi"/>
          <w:sz w:val="22"/>
          <w:szCs w:val="22"/>
        </w:rPr>
        <w:t>5</w:t>
      </w:r>
      <w:r w:rsidR="00107BE9" w:rsidRPr="003D1956">
        <w:rPr>
          <w:rFonts w:asciiTheme="minorHAnsi" w:hAnsiTheme="minorHAnsi" w:cstheme="minorHAnsi"/>
          <w:sz w:val="22"/>
          <w:szCs w:val="22"/>
        </w:rPr>
        <w:t>.</w:t>
      </w:r>
    </w:p>
    <w:p w14:paraId="53267228" w14:textId="77777777" w:rsidR="004E0446" w:rsidRPr="003D1956" w:rsidRDefault="004E0446" w:rsidP="001F55F4">
      <w:pPr>
        <w:spacing w:after="24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7291F00" w14:textId="77777777" w:rsidR="004E0446" w:rsidRPr="003D1956" w:rsidRDefault="004E0446" w:rsidP="001F55F4">
      <w:pPr>
        <w:spacing w:after="240" w:line="276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2BEB4320" w14:textId="654DFDDA" w:rsidR="00F94357" w:rsidRPr="003D1956" w:rsidRDefault="004E0446" w:rsidP="001F5C8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956">
        <w:rPr>
          <w:rFonts w:asciiTheme="minorHAnsi" w:hAnsiTheme="minorHAnsi" w:cstheme="minorHAnsi"/>
          <w:b/>
          <w:sz w:val="22"/>
          <w:szCs w:val="22"/>
        </w:rPr>
        <w:t>GUILHERME TREVIZOLI SALOMÃO</w:t>
      </w:r>
    </w:p>
    <w:p w14:paraId="7B7AFCFC" w14:textId="1F5AEC0B" w:rsidR="00761564" w:rsidRPr="00E729E2" w:rsidRDefault="00F94357" w:rsidP="003C2988">
      <w:pPr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D1956">
        <w:rPr>
          <w:rFonts w:asciiTheme="minorHAnsi" w:hAnsiTheme="minorHAnsi" w:cstheme="minorHAnsi"/>
          <w:sz w:val="22"/>
          <w:szCs w:val="22"/>
        </w:rPr>
        <w:t>PREGOEIRO</w:t>
      </w:r>
      <w:r w:rsidR="001F55F4" w:rsidRPr="003D1956">
        <w:rPr>
          <w:rFonts w:asciiTheme="minorHAnsi" w:hAnsiTheme="minorHAnsi" w:cstheme="minorHAnsi"/>
          <w:sz w:val="22"/>
          <w:szCs w:val="22"/>
        </w:rPr>
        <w:t xml:space="preserve"> SUBSTITUTO</w:t>
      </w:r>
    </w:p>
    <w:sectPr w:rsidR="00761564" w:rsidRPr="00E729E2" w:rsidSect="00DF777F">
      <w:headerReference w:type="default" r:id="rId8"/>
      <w:footerReference w:type="default" r:id="rId9"/>
      <w:pgSz w:w="11906" w:h="16838"/>
      <w:pgMar w:top="2232" w:right="849" w:bottom="993" w:left="1418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37B8" w14:textId="77777777" w:rsidR="00185280" w:rsidRDefault="00185280" w:rsidP="00AE723E">
      <w:r>
        <w:separator/>
      </w:r>
    </w:p>
  </w:endnote>
  <w:endnote w:type="continuationSeparator" w:id="0">
    <w:p w14:paraId="0F495948" w14:textId="77777777" w:rsidR="00185280" w:rsidRDefault="00185280" w:rsidP="00A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hAnsi="Courier New" w:cs="Courier New"/>
        <w:sz w:val="18"/>
      </w:rPr>
      <w:id w:val="1156494071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AC0121" w14:textId="77777777" w:rsidR="00185280" w:rsidRPr="00DF777F" w:rsidRDefault="00185280">
            <w:pPr>
              <w:pStyle w:val="Rodap"/>
              <w:jc w:val="right"/>
              <w:rPr>
                <w:rFonts w:ascii="Courier New" w:hAnsi="Courier New" w:cs="Courier New"/>
                <w:sz w:val="18"/>
              </w:rPr>
            </w:pPr>
            <w:r w:rsidRPr="00DF777F">
              <w:rPr>
                <w:rFonts w:ascii="Courier New" w:hAnsi="Courier New" w:cs="Courier New"/>
                <w:sz w:val="18"/>
              </w:rPr>
              <w:t xml:space="preserve">Página </w:t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fldChar w:fldCharType="begin"/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instrText>PAGE</w:instrText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fldChar w:fldCharType="separate"/>
            </w:r>
            <w:r w:rsidR="00BD3E0F">
              <w:rPr>
                <w:rFonts w:ascii="Courier New" w:hAnsi="Courier New" w:cs="Courier New"/>
                <w:b/>
                <w:bCs/>
                <w:noProof/>
                <w:sz w:val="18"/>
              </w:rPr>
              <w:t>4</w:t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fldChar w:fldCharType="end"/>
            </w:r>
            <w:r w:rsidRPr="00DF777F">
              <w:rPr>
                <w:rFonts w:ascii="Courier New" w:hAnsi="Courier New" w:cs="Courier New"/>
                <w:sz w:val="18"/>
              </w:rPr>
              <w:t xml:space="preserve"> de </w:t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fldChar w:fldCharType="begin"/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instrText>NUMPAGES</w:instrText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fldChar w:fldCharType="separate"/>
            </w:r>
            <w:r w:rsidR="00BD3E0F">
              <w:rPr>
                <w:rFonts w:ascii="Courier New" w:hAnsi="Courier New" w:cs="Courier New"/>
                <w:b/>
                <w:bCs/>
                <w:noProof/>
                <w:sz w:val="18"/>
              </w:rPr>
              <w:t>5</w:t>
            </w:r>
            <w:r w:rsidRPr="00DF777F">
              <w:rPr>
                <w:rFonts w:ascii="Courier New" w:hAnsi="Courier New" w:cs="Courier Ne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DB45AE0" w14:textId="77777777" w:rsidR="00185280" w:rsidRPr="00DF777F" w:rsidRDefault="00185280" w:rsidP="00DF77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51FF" w14:textId="77777777" w:rsidR="00185280" w:rsidRDefault="00185280" w:rsidP="00AE723E">
      <w:r>
        <w:separator/>
      </w:r>
    </w:p>
  </w:footnote>
  <w:footnote w:type="continuationSeparator" w:id="0">
    <w:p w14:paraId="15FF3338" w14:textId="77777777" w:rsidR="00185280" w:rsidRDefault="00185280" w:rsidP="00AE723E">
      <w:r>
        <w:continuationSeparator/>
      </w:r>
    </w:p>
  </w:footnote>
  <w:footnote w:id="1">
    <w:p w14:paraId="7AB96ED2" w14:textId="4C629CD2" w:rsidR="00656D9F" w:rsidRPr="00656D9F" w:rsidRDefault="00656D9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656D9F">
        <w:rPr>
          <w:lang w:val="pt-BR"/>
        </w:rPr>
        <w:t>Licitações</w:t>
      </w:r>
      <w:r>
        <w:rPr>
          <w:lang w:val="pt-BR"/>
        </w:rPr>
        <w:t xml:space="preserve"> </w:t>
      </w:r>
      <w:r w:rsidRPr="00656D9F">
        <w:rPr>
          <w:lang w:val="pt-BR"/>
        </w:rPr>
        <w:t>e</w:t>
      </w:r>
      <w:r>
        <w:rPr>
          <w:lang w:val="pt-BR"/>
        </w:rPr>
        <w:t xml:space="preserve"> </w:t>
      </w:r>
      <w:r w:rsidRPr="00656D9F">
        <w:rPr>
          <w:lang w:val="pt-BR"/>
        </w:rPr>
        <w:t>Contratos</w:t>
      </w:r>
      <w:r>
        <w:rPr>
          <w:lang w:val="pt-BR"/>
        </w:rPr>
        <w:t xml:space="preserve"> – </w:t>
      </w:r>
      <w:r w:rsidRPr="00656D9F">
        <w:rPr>
          <w:lang w:val="pt-BR"/>
        </w:rPr>
        <w:t>Orientações</w:t>
      </w:r>
      <w:r>
        <w:rPr>
          <w:lang w:val="pt-BR"/>
        </w:rPr>
        <w:t xml:space="preserve"> </w:t>
      </w:r>
      <w:r w:rsidRPr="00656D9F">
        <w:rPr>
          <w:lang w:val="pt-BR"/>
        </w:rPr>
        <w:t>e</w:t>
      </w:r>
      <w:r>
        <w:rPr>
          <w:lang w:val="pt-BR"/>
        </w:rPr>
        <w:t xml:space="preserve"> </w:t>
      </w:r>
      <w:r w:rsidRPr="00656D9F">
        <w:rPr>
          <w:lang w:val="pt-BR"/>
        </w:rPr>
        <w:t>Jurisprudência</w:t>
      </w:r>
      <w:r>
        <w:rPr>
          <w:lang w:val="pt-BR"/>
        </w:rPr>
        <w:t xml:space="preserve"> </w:t>
      </w:r>
      <w:r w:rsidRPr="00656D9F">
        <w:rPr>
          <w:lang w:val="pt-BR"/>
        </w:rPr>
        <w:t>do</w:t>
      </w:r>
      <w:r>
        <w:rPr>
          <w:lang w:val="pt-BR"/>
        </w:rPr>
        <w:t xml:space="preserve"> </w:t>
      </w:r>
      <w:r w:rsidRPr="00656D9F">
        <w:rPr>
          <w:lang w:val="pt-BR"/>
        </w:rPr>
        <w:t>TCU</w:t>
      </w:r>
      <w:r>
        <w:rPr>
          <w:lang w:val="pt-BR"/>
        </w:rPr>
        <w:t xml:space="preserve"> - </w:t>
      </w:r>
      <w:r w:rsidRPr="00656D9F">
        <w:rPr>
          <w:lang w:val="pt-BR"/>
        </w:rPr>
        <w:t>5a-Edicao</w:t>
      </w:r>
      <w:r>
        <w:rPr>
          <w:lang w:val="pt-BR"/>
        </w:rPr>
        <w:t xml:space="preserve"> - </w:t>
      </w:r>
      <w:r w:rsidRPr="00656D9F">
        <w:rPr>
          <w:lang w:val="pt-BR"/>
        </w:rPr>
        <w:t>29-08-2024</w:t>
      </w:r>
      <w:r>
        <w:rPr>
          <w:lang w:val="pt-BR"/>
        </w:rPr>
        <w:t xml:space="preserve">. Disponível em </w:t>
      </w:r>
      <w:hyperlink r:id="rId1" w:history="1">
        <w:r w:rsidRPr="005B32A9">
          <w:rPr>
            <w:rStyle w:val="Hyperlink"/>
            <w:lang w:val="pt-BR"/>
          </w:rPr>
          <w:t>https://licitacoesecontratos.tcu.gov.br/wp-content/uploads/sites/11/2024/09/Licitacoes-e-Contratos-Orientacoes-e-Jurisprudencia-do-TCU-5a-Edicao-29-08-2024.pdf</w:t>
        </w:r>
      </w:hyperlink>
      <w:r>
        <w:rPr>
          <w:lang w:val="pt-BR"/>
        </w:rPr>
        <w:t xml:space="preserve"> , acessado em 16/07/2025 às 13:55.</w:t>
      </w:r>
    </w:p>
  </w:footnote>
  <w:footnote w:id="2">
    <w:p w14:paraId="7A31D98B" w14:textId="67CBD1E6" w:rsidR="006D12AC" w:rsidRPr="006D12AC" w:rsidRDefault="006D12A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>
        <w:rPr>
          <w:lang w:val="pt-BR"/>
        </w:rPr>
        <w:t>MEDAUAR,Odete</w:t>
      </w:r>
      <w:proofErr w:type="spellEnd"/>
      <w:proofErr w:type="gramEnd"/>
      <w:r>
        <w:rPr>
          <w:lang w:val="pt-BR"/>
        </w:rPr>
        <w:t xml:space="preserve">. Direito Administrativo Moderno. 9 ed. Ver. E </w:t>
      </w:r>
      <w:proofErr w:type="spellStart"/>
      <w:r>
        <w:rPr>
          <w:lang w:val="pt-BR"/>
        </w:rPr>
        <w:t>Atul</w:t>
      </w:r>
      <w:proofErr w:type="spellEnd"/>
      <w:r>
        <w:rPr>
          <w:lang w:val="pt-BR"/>
        </w:rPr>
        <w:t>. São Paulo: Editora Revista dos Tribunais, 2005. 199p.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276F" w14:textId="77777777" w:rsidR="00185280" w:rsidRDefault="00185280" w:rsidP="005C3A7A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5ABE38F3" wp14:editId="4E9BA45C">
          <wp:extent cx="5400040" cy="10756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_cmsb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4FE5"/>
    <w:multiLevelType w:val="multilevel"/>
    <w:tmpl w:val="B9044C6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346E07"/>
    <w:multiLevelType w:val="multilevel"/>
    <w:tmpl w:val="89C6E2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271F1D"/>
    <w:multiLevelType w:val="hybridMultilevel"/>
    <w:tmpl w:val="86EC6C24"/>
    <w:lvl w:ilvl="0" w:tplc="F3CA3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74D6"/>
    <w:multiLevelType w:val="hybridMultilevel"/>
    <w:tmpl w:val="8C8AF8F2"/>
    <w:lvl w:ilvl="0" w:tplc="BF827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65BA"/>
    <w:multiLevelType w:val="hybridMultilevel"/>
    <w:tmpl w:val="8C844410"/>
    <w:lvl w:ilvl="0" w:tplc="C87CF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51E3"/>
    <w:multiLevelType w:val="multilevel"/>
    <w:tmpl w:val="525865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7433EE"/>
    <w:multiLevelType w:val="hybridMultilevel"/>
    <w:tmpl w:val="8C8AF8F2"/>
    <w:lvl w:ilvl="0" w:tplc="BF827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83D1A"/>
    <w:multiLevelType w:val="hybridMultilevel"/>
    <w:tmpl w:val="C9847F7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A7C5C"/>
    <w:multiLevelType w:val="multilevel"/>
    <w:tmpl w:val="947854C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FCA45D1"/>
    <w:multiLevelType w:val="hybridMultilevel"/>
    <w:tmpl w:val="694860B2"/>
    <w:lvl w:ilvl="0" w:tplc="7B805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948B6"/>
    <w:multiLevelType w:val="hybridMultilevel"/>
    <w:tmpl w:val="8C8AF8F2"/>
    <w:lvl w:ilvl="0" w:tplc="BF827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009CF"/>
    <w:multiLevelType w:val="hybridMultilevel"/>
    <w:tmpl w:val="4B66FE3E"/>
    <w:lvl w:ilvl="0" w:tplc="A88EEE3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5CAB"/>
    <w:multiLevelType w:val="multilevel"/>
    <w:tmpl w:val="947854C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4A64C0"/>
    <w:multiLevelType w:val="multilevel"/>
    <w:tmpl w:val="C87A9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8964B2F"/>
    <w:multiLevelType w:val="multilevel"/>
    <w:tmpl w:val="2A5EAE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28A449F7"/>
    <w:multiLevelType w:val="multilevel"/>
    <w:tmpl w:val="9C480E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957A76"/>
    <w:multiLevelType w:val="multilevel"/>
    <w:tmpl w:val="947854C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01834E3"/>
    <w:multiLevelType w:val="multilevel"/>
    <w:tmpl w:val="48265014"/>
    <w:lvl w:ilvl="0">
      <w:start w:val="7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bCs/>
        <w:i w:val="0"/>
        <w:iCs w:val="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30601328"/>
    <w:multiLevelType w:val="hybridMultilevel"/>
    <w:tmpl w:val="8E0E17B8"/>
    <w:lvl w:ilvl="0" w:tplc="96B4EC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300CA7"/>
    <w:multiLevelType w:val="hybridMultilevel"/>
    <w:tmpl w:val="0E448FB6"/>
    <w:lvl w:ilvl="0" w:tplc="F9C232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E7D94"/>
    <w:multiLevelType w:val="hybridMultilevel"/>
    <w:tmpl w:val="E3D2A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A229E"/>
    <w:multiLevelType w:val="multilevel"/>
    <w:tmpl w:val="B9044C6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0246B3"/>
    <w:multiLevelType w:val="multilevel"/>
    <w:tmpl w:val="05643BE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EB6C18"/>
    <w:multiLevelType w:val="hybridMultilevel"/>
    <w:tmpl w:val="28D863AC"/>
    <w:lvl w:ilvl="0" w:tplc="0F84C11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3045D"/>
    <w:multiLevelType w:val="hybridMultilevel"/>
    <w:tmpl w:val="86EC6C24"/>
    <w:lvl w:ilvl="0" w:tplc="F3CA3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460FC"/>
    <w:multiLevelType w:val="hybridMultilevel"/>
    <w:tmpl w:val="0548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32F7C"/>
    <w:multiLevelType w:val="hybridMultilevel"/>
    <w:tmpl w:val="A3848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060A0"/>
    <w:multiLevelType w:val="multilevel"/>
    <w:tmpl w:val="1F3CA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7017C01"/>
    <w:multiLevelType w:val="multilevel"/>
    <w:tmpl w:val="947854C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B6860BB"/>
    <w:multiLevelType w:val="hybridMultilevel"/>
    <w:tmpl w:val="A85AF3EC"/>
    <w:lvl w:ilvl="0" w:tplc="4B14D0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62E44"/>
    <w:multiLevelType w:val="hybridMultilevel"/>
    <w:tmpl w:val="BFFA89E2"/>
    <w:lvl w:ilvl="0" w:tplc="06D21BF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101CE"/>
    <w:multiLevelType w:val="hybridMultilevel"/>
    <w:tmpl w:val="6EF07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33343"/>
    <w:multiLevelType w:val="hybridMultilevel"/>
    <w:tmpl w:val="CA6C4388"/>
    <w:lvl w:ilvl="0" w:tplc="AC802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0976"/>
    <w:multiLevelType w:val="hybridMultilevel"/>
    <w:tmpl w:val="C97E5ECE"/>
    <w:lvl w:ilvl="0" w:tplc="C21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D7E73"/>
    <w:multiLevelType w:val="multilevel"/>
    <w:tmpl w:val="C0DA1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0F5E0C"/>
    <w:multiLevelType w:val="hybridMultilevel"/>
    <w:tmpl w:val="86EC6C24"/>
    <w:lvl w:ilvl="0" w:tplc="F3CA3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17FC"/>
    <w:multiLevelType w:val="multilevel"/>
    <w:tmpl w:val="90BAC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7" w15:restartNumberingAfterBreak="0">
    <w:nsid w:val="6D227FB4"/>
    <w:multiLevelType w:val="hybridMultilevel"/>
    <w:tmpl w:val="86EC6C24"/>
    <w:lvl w:ilvl="0" w:tplc="F3CA3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03FAC"/>
    <w:multiLevelType w:val="multilevel"/>
    <w:tmpl w:val="D940E6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0040E93"/>
    <w:multiLevelType w:val="multilevel"/>
    <w:tmpl w:val="9484F9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0" w15:restartNumberingAfterBreak="0">
    <w:nsid w:val="704A217D"/>
    <w:multiLevelType w:val="hybridMultilevel"/>
    <w:tmpl w:val="86EC6C24"/>
    <w:lvl w:ilvl="0" w:tplc="F3CA3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E6D7F"/>
    <w:multiLevelType w:val="multilevel"/>
    <w:tmpl w:val="06565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B67998"/>
    <w:multiLevelType w:val="hybridMultilevel"/>
    <w:tmpl w:val="49F6C742"/>
    <w:lvl w:ilvl="0" w:tplc="CFDE1CE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2113427992">
    <w:abstractNumId w:val="23"/>
  </w:num>
  <w:num w:numId="2" w16cid:durableId="1689714763">
    <w:abstractNumId w:val="30"/>
  </w:num>
  <w:num w:numId="3" w16cid:durableId="2021658153">
    <w:abstractNumId w:val="11"/>
  </w:num>
  <w:num w:numId="4" w16cid:durableId="825321120">
    <w:abstractNumId w:val="4"/>
  </w:num>
  <w:num w:numId="5" w16cid:durableId="29232782">
    <w:abstractNumId w:val="22"/>
  </w:num>
  <w:num w:numId="6" w16cid:durableId="1559627220">
    <w:abstractNumId w:val="12"/>
  </w:num>
  <w:num w:numId="7" w16cid:durableId="1583947928">
    <w:abstractNumId w:val="0"/>
  </w:num>
  <w:num w:numId="8" w16cid:durableId="1388338243">
    <w:abstractNumId w:val="21"/>
  </w:num>
  <w:num w:numId="9" w16cid:durableId="776947931">
    <w:abstractNumId w:val="16"/>
  </w:num>
  <w:num w:numId="10" w16cid:durableId="914170033">
    <w:abstractNumId w:val="28"/>
  </w:num>
  <w:num w:numId="11" w16cid:durableId="1250385027">
    <w:abstractNumId w:val="1"/>
  </w:num>
  <w:num w:numId="12" w16cid:durableId="766776659">
    <w:abstractNumId w:val="8"/>
  </w:num>
  <w:num w:numId="13" w16cid:durableId="1526357976">
    <w:abstractNumId w:val="32"/>
  </w:num>
  <w:num w:numId="14" w16cid:durableId="1985154710">
    <w:abstractNumId w:val="31"/>
  </w:num>
  <w:num w:numId="15" w16cid:durableId="2041084081">
    <w:abstractNumId w:val="33"/>
  </w:num>
  <w:num w:numId="16" w16cid:durableId="2141603085">
    <w:abstractNumId w:val="29"/>
  </w:num>
  <w:num w:numId="17" w16cid:durableId="1328941469">
    <w:abstractNumId w:val="9"/>
  </w:num>
  <w:num w:numId="18" w16cid:durableId="1594437017">
    <w:abstractNumId w:val="38"/>
  </w:num>
  <w:num w:numId="19" w16cid:durableId="1103188796">
    <w:abstractNumId w:val="27"/>
  </w:num>
  <w:num w:numId="20" w16cid:durableId="1675262470">
    <w:abstractNumId w:val="13"/>
  </w:num>
  <w:num w:numId="21" w16cid:durableId="1064374237">
    <w:abstractNumId w:val="41"/>
  </w:num>
  <w:num w:numId="22" w16cid:durableId="634532548">
    <w:abstractNumId w:val="5"/>
  </w:num>
  <w:num w:numId="23" w16cid:durableId="1967349833">
    <w:abstractNumId w:val="20"/>
  </w:num>
  <w:num w:numId="24" w16cid:durableId="603071083">
    <w:abstractNumId w:val="19"/>
  </w:num>
  <w:num w:numId="25" w16cid:durableId="992951299">
    <w:abstractNumId w:val="10"/>
  </w:num>
  <w:num w:numId="26" w16cid:durableId="1759521274">
    <w:abstractNumId w:val="35"/>
  </w:num>
  <w:num w:numId="27" w16cid:durableId="813566384">
    <w:abstractNumId w:val="18"/>
  </w:num>
  <w:num w:numId="28" w16cid:durableId="1002197736">
    <w:abstractNumId w:val="42"/>
  </w:num>
  <w:num w:numId="29" w16cid:durableId="1125082067">
    <w:abstractNumId w:val="6"/>
  </w:num>
  <w:num w:numId="30" w16cid:durableId="518278853">
    <w:abstractNumId w:val="3"/>
  </w:num>
  <w:num w:numId="31" w16cid:durableId="1007946533">
    <w:abstractNumId w:val="40"/>
  </w:num>
  <w:num w:numId="32" w16cid:durableId="531916716">
    <w:abstractNumId w:val="24"/>
  </w:num>
  <w:num w:numId="33" w16cid:durableId="1076825137">
    <w:abstractNumId w:val="37"/>
  </w:num>
  <w:num w:numId="34" w16cid:durableId="461580430">
    <w:abstractNumId w:val="2"/>
  </w:num>
  <w:num w:numId="35" w16cid:durableId="1866555027">
    <w:abstractNumId w:val="34"/>
  </w:num>
  <w:num w:numId="36" w16cid:durableId="907182067">
    <w:abstractNumId w:val="26"/>
  </w:num>
  <w:num w:numId="37" w16cid:durableId="1784107875">
    <w:abstractNumId w:val="14"/>
  </w:num>
  <w:num w:numId="38" w16cid:durableId="1552040723">
    <w:abstractNumId w:val="39"/>
  </w:num>
  <w:num w:numId="39" w16cid:durableId="2100253189">
    <w:abstractNumId w:val="25"/>
  </w:num>
  <w:num w:numId="40" w16cid:durableId="691998979">
    <w:abstractNumId w:val="36"/>
  </w:num>
  <w:num w:numId="41" w16cid:durableId="27806594">
    <w:abstractNumId w:val="17"/>
  </w:num>
  <w:num w:numId="42" w16cid:durableId="978074484">
    <w:abstractNumId w:val="15"/>
  </w:num>
  <w:num w:numId="43" w16cid:durableId="1469283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D0C"/>
    <w:rsid w:val="00001EAB"/>
    <w:rsid w:val="000027F1"/>
    <w:rsid w:val="00006568"/>
    <w:rsid w:val="0001373A"/>
    <w:rsid w:val="0001490D"/>
    <w:rsid w:val="0002098A"/>
    <w:rsid w:val="000273EF"/>
    <w:rsid w:val="00030773"/>
    <w:rsid w:val="000377AD"/>
    <w:rsid w:val="00040442"/>
    <w:rsid w:val="00041190"/>
    <w:rsid w:val="0004226B"/>
    <w:rsid w:val="000466E0"/>
    <w:rsid w:val="00046D14"/>
    <w:rsid w:val="00047A95"/>
    <w:rsid w:val="00093A31"/>
    <w:rsid w:val="00096309"/>
    <w:rsid w:val="000A757C"/>
    <w:rsid w:val="000B04F0"/>
    <w:rsid w:val="000B0CD8"/>
    <w:rsid w:val="000B2DAE"/>
    <w:rsid w:val="000C1227"/>
    <w:rsid w:val="000C1D55"/>
    <w:rsid w:val="000C29DF"/>
    <w:rsid w:val="000C353D"/>
    <w:rsid w:val="000C636B"/>
    <w:rsid w:val="000D0CA0"/>
    <w:rsid w:val="000D50FA"/>
    <w:rsid w:val="000E11E3"/>
    <w:rsid w:val="000E142F"/>
    <w:rsid w:val="000E3740"/>
    <w:rsid w:val="000E3797"/>
    <w:rsid w:val="000E614D"/>
    <w:rsid w:val="000E648B"/>
    <w:rsid w:val="000F0212"/>
    <w:rsid w:val="000F17AB"/>
    <w:rsid w:val="000F2FEF"/>
    <w:rsid w:val="000F3C3C"/>
    <w:rsid w:val="000F6E82"/>
    <w:rsid w:val="000F70F6"/>
    <w:rsid w:val="00101886"/>
    <w:rsid w:val="00106DD7"/>
    <w:rsid w:val="00107BE9"/>
    <w:rsid w:val="001100B1"/>
    <w:rsid w:val="00116A0C"/>
    <w:rsid w:val="00117024"/>
    <w:rsid w:val="00117D5C"/>
    <w:rsid w:val="00117E15"/>
    <w:rsid w:val="00125F81"/>
    <w:rsid w:val="0012674D"/>
    <w:rsid w:val="001332A9"/>
    <w:rsid w:val="0013751D"/>
    <w:rsid w:val="0014122E"/>
    <w:rsid w:val="00145D4B"/>
    <w:rsid w:val="00155A0D"/>
    <w:rsid w:val="00155EF4"/>
    <w:rsid w:val="001641EA"/>
    <w:rsid w:val="0017250E"/>
    <w:rsid w:val="00172EAF"/>
    <w:rsid w:val="001752BE"/>
    <w:rsid w:val="00175705"/>
    <w:rsid w:val="00175D56"/>
    <w:rsid w:val="00175F7F"/>
    <w:rsid w:val="00176135"/>
    <w:rsid w:val="001772FD"/>
    <w:rsid w:val="00180BE4"/>
    <w:rsid w:val="00180D0B"/>
    <w:rsid w:val="00185280"/>
    <w:rsid w:val="00185EE3"/>
    <w:rsid w:val="00196F13"/>
    <w:rsid w:val="001970F8"/>
    <w:rsid w:val="001A087F"/>
    <w:rsid w:val="001A5D4C"/>
    <w:rsid w:val="001A70E8"/>
    <w:rsid w:val="001B14C1"/>
    <w:rsid w:val="001C437D"/>
    <w:rsid w:val="001C6518"/>
    <w:rsid w:val="001D0287"/>
    <w:rsid w:val="001D3252"/>
    <w:rsid w:val="001D4727"/>
    <w:rsid w:val="001D517A"/>
    <w:rsid w:val="001D5AB8"/>
    <w:rsid w:val="001E2A4A"/>
    <w:rsid w:val="001E4BCD"/>
    <w:rsid w:val="001E67F3"/>
    <w:rsid w:val="001F55F4"/>
    <w:rsid w:val="001F5C83"/>
    <w:rsid w:val="001F6020"/>
    <w:rsid w:val="0020507B"/>
    <w:rsid w:val="00205701"/>
    <w:rsid w:val="00213B7F"/>
    <w:rsid w:val="00214C33"/>
    <w:rsid w:val="00215228"/>
    <w:rsid w:val="00225716"/>
    <w:rsid w:val="00225962"/>
    <w:rsid w:val="00227782"/>
    <w:rsid w:val="00232A74"/>
    <w:rsid w:val="00251D68"/>
    <w:rsid w:val="0025294E"/>
    <w:rsid w:val="00260152"/>
    <w:rsid w:val="002621AC"/>
    <w:rsid w:val="0026387C"/>
    <w:rsid w:val="00271C89"/>
    <w:rsid w:val="00274A48"/>
    <w:rsid w:val="00287886"/>
    <w:rsid w:val="00290E79"/>
    <w:rsid w:val="00291B26"/>
    <w:rsid w:val="00293242"/>
    <w:rsid w:val="00294BE6"/>
    <w:rsid w:val="00297CE2"/>
    <w:rsid w:val="002A49AC"/>
    <w:rsid w:val="002B09AE"/>
    <w:rsid w:val="002B1CB9"/>
    <w:rsid w:val="002B2BC3"/>
    <w:rsid w:val="002B3586"/>
    <w:rsid w:val="002B5F7E"/>
    <w:rsid w:val="002C0548"/>
    <w:rsid w:val="002D072E"/>
    <w:rsid w:val="002D0C73"/>
    <w:rsid w:val="002D35CF"/>
    <w:rsid w:val="002E1092"/>
    <w:rsid w:val="002E1DAA"/>
    <w:rsid w:val="002F2925"/>
    <w:rsid w:val="002F4150"/>
    <w:rsid w:val="00301C27"/>
    <w:rsid w:val="00305BA1"/>
    <w:rsid w:val="00312C36"/>
    <w:rsid w:val="00314B5A"/>
    <w:rsid w:val="00314E7D"/>
    <w:rsid w:val="00316D93"/>
    <w:rsid w:val="00321019"/>
    <w:rsid w:val="00322DD6"/>
    <w:rsid w:val="00323229"/>
    <w:rsid w:val="00325A8A"/>
    <w:rsid w:val="003260D6"/>
    <w:rsid w:val="00334E94"/>
    <w:rsid w:val="00345E34"/>
    <w:rsid w:val="003638E5"/>
    <w:rsid w:val="00364656"/>
    <w:rsid w:val="0036773B"/>
    <w:rsid w:val="00376B27"/>
    <w:rsid w:val="0038121B"/>
    <w:rsid w:val="003835EE"/>
    <w:rsid w:val="003860AF"/>
    <w:rsid w:val="00395917"/>
    <w:rsid w:val="003962CB"/>
    <w:rsid w:val="003A18B2"/>
    <w:rsid w:val="003B1763"/>
    <w:rsid w:val="003B5294"/>
    <w:rsid w:val="003B6272"/>
    <w:rsid w:val="003B633C"/>
    <w:rsid w:val="003C2988"/>
    <w:rsid w:val="003D181D"/>
    <w:rsid w:val="003D1956"/>
    <w:rsid w:val="003D3196"/>
    <w:rsid w:val="003D4D05"/>
    <w:rsid w:val="003D7498"/>
    <w:rsid w:val="003D7C0C"/>
    <w:rsid w:val="003F3DAA"/>
    <w:rsid w:val="003F5F90"/>
    <w:rsid w:val="003F62B3"/>
    <w:rsid w:val="00405C8A"/>
    <w:rsid w:val="0041066F"/>
    <w:rsid w:val="004138BC"/>
    <w:rsid w:val="0041626D"/>
    <w:rsid w:val="00416AA7"/>
    <w:rsid w:val="00417C67"/>
    <w:rsid w:val="004221F3"/>
    <w:rsid w:val="00424154"/>
    <w:rsid w:val="00426ED5"/>
    <w:rsid w:val="00427911"/>
    <w:rsid w:val="00431D2A"/>
    <w:rsid w:val="00432A7F"/>
    <w:rsid w:val="004345CA"/>
    <w:rsid w:val="00436153"/>
    <w:rsid w:val="00440750"/>
    <w:rsid w:val="00440807"/>
    <w:rsid w:val="00443F6E"/>
    <w:rsid w:val="00444FB7"/>
    <w:rsid w:val="00446E1B"/>
    <w:rsid w:val="0045080B"/>
    <w:rsid w:val="004509AF"/>
    <w:rsid w:val="00450B0E"/>
    <w:rsid w:val="0045386E"/>
    <w:rsid w:val="00453DA5"/>
    <w:rsid w:val="004556B1"/>
    <w:rsid w:val="00464636"/>
    <w:rsid w:val="004659AE"/>
    <w:rsid w:val="00467EA2"/>
    <w:rsid w:val="00470FD6"/>
    <w:rsid w:val="00473776"/>
    <w:rsid w:val="00480121"/>
    <w:rsid w:val="004825A8"/>
    <w:rsid w:val="00486B9A"/>
    <w:rsid w:val="00496538"/>
    <w:rsid w:val="004A05BD"/>
    <w:rsid w:val="004A132A"/>
    <w:rsid w:val="004A4E44"/>
    <w:rsid w:val="004A5119"/>
    <w:rsid w:val="004B3AAC"/>
    <w:rsid w:val="004B4602"/>
    <w:rsid w:val="004C484D"/>
    <w:rsid w:val="004D38AE"/>
    <w:rsid w:val="004D48E2"/>
    <w:rsid w:val="004D544A"/>
    <w:rsid w:val="004D5FF8"/>
    <w:rsid w:val="004D7A58"/>
    <w:rsid w:val="004D7B55"/>
    <w:rsid w:val="004E0446"/>
    <w:rsid w:val="004E3D64"/>
    <w:rsid w:val="004E4CE4"/>
    <w:rsid w:val="004F3322"/>
    <w:rsid w:val="004F6E17"/>
    <w:rsid w:val="004F723D"/>
    <w:rsid w:val="00507A03"/>
    <w:rsid w:val="00507BEF"/>
    <w:rsid w:val="00511600"/>
    <w:rsid w:val="00517674"/>
    <w:rsid w:val="0052011C"/>
    <w:rsid w:val="00520917"/>
    <w:rsid w:val="00521995"/>
    <w:rsid w:val="00530F9A"/>
    <w:rsid w:val="005325AF"/>
    <w:rsid w:val="0053716B"/>
    <w:rsid w:val="0054047E"/>
    <w:rsid w:val="0054198A"/>
    <w:rsid w:val="00542864"/>
    <w:rsid w:val="00543638"/>
    <w:rsid w:val="00543768"/>
    <w:rsid w:val="005471B1"/>
    <w:rsid w:val="005500EE"/>
    <w:rsid w:val="005557C3"/>
    <w:rsid w:val="00556BAF"/>
    <w:rsid w:val="00565A20"/>
    <w:rsid w:val="00571AA2"/>
    <w:rsid w:val="0057624F"/>
    <w:rsid w:val="00577058"/>
    <w:rsid w:val="00580D60"/>
    <w:rsid w:val="00583842"/>
    <w:rsid w:val="00584EFF"/>
    <w:rsid w:val="00590700"/>
    <w:rsid w:val="00591A04"/>
    <w:rsid w:val="00592AF3"/>
    <w:rsid w:val="005961AC"/>
    <w:rsid w:val="005A3772"/>
    <w:rsid w:val="005A61B7"/>
    <w:rsid w:val="005A6237"/>
    <w:rsid w:val="005B1725"/>
    <w:rsid w:val="005B4505"/>
    <w:rsid w:val="005B479C"/>
    <w:rsid w:val="005C200C"/>
    <w:rsid w:val="005C3A7A"/>
    <w:rsid w:val="005E04BD"/>
    <w:rsid w:val="005E07B3"/>
    <w:rsid w:val="005E1531"/>
    <w:rsid w:val="005E605B"/>
    <w:rsid w:val="005E653C"/>
    <w:rsid w:val="005E6778"/>
    <w:rsid w:val="005E7696"/>
    <w:rsid w:val="005F03D8"/>
    <w:rsid w:val="005F2C48"/>
    <w:rsid w:val="005F487E"/>
    <w:rsid w:val="005F4964"/>
    <w:rsid w:val="005F535B"/>
    <w:rsid w:val="005F623F"/>
    <w:rsid w:val="00601A61"/>
    <w:rsid w:val="00602440"/>
    <w:rsid w:val="00607194"/>
    <w:rsid w:val="006073FA"/>
    <w:rsid w:val="006108A7"/>
    <w:rsid w:val="006128FB"/>
    <w:rsid w:val="006146A3"/>
    <w:rsid w:val="006147BD"/>
    <w:rsid w:val="00624B61"/>
    <w:rsid w:val="00625F1F"/>
    <w:rsid w:val="0063041C"/>
    <w:rsid w:val="006318BB"/>
    <w:rsid w:val="00633BCB"/>
    <w:rsid w:val="00640F2A"/>
    <w:rsid w:val="00641E78"/>
    <w:rsid w:val="00642BE5"/>
    <w:rsid w:val="006439A3"/>
    <w:rsid w:val="0064495E"/>
    <w:rsid w:val="00645E65"/>
    <w:rsid w:val="0064669F"/>
    <w:rsid w:val="00650807"/>
    <w:rsid w:val="00652BEB"/>
    <w:rsid w:val="00656D9F"/>
    <w:rsid w:val="00663F3C"/>
    <w:rsid w:val="006655B4"/>
    <w:rsid w:val="00666AF6"/>
    <w:rsid w:val="00670B29"/>
    <w:rsid w:val="00670DA6"/>
    <w:rsid w:val="006714AC"/>
    <w:rsid w:val="0068041E"/>
    <w:rsid w:val="00682AAD"/>
    <w:rsid w:val="006864FD"/>
    <w:rsid w:val="00686BB3"/>
    <w:rsid w:val="00686BF6"/>
    <w:rsid w:val="006A43FA"/>
    <w:rsid w:val="006B2222"/>
    <w:rsid w:val="006B57B8"/>
    <w:rsid w:val="006C59FD"/>
    <w:rsid w:val="006D12AC"/>
    <w:rsid w:val="006D4DDA"/>
    <w:rsid w:val="006D5499"/>
    <w:rsid w:val="006D6A1E"/>
    <w:rsid w:val="006E13A3"/>
    <w:rsid w:val="006E552B"/>
    <w:rsid w:val="0070306B"/>
    <w:rsid w:val="00703842"/>
    <w:rsid w:val="00704220"/>
    <w:rsid w:val="0070439A"/>
    <w:rsid w:val="007070D3"/>
    <w:rsid w:val="00713B58"/>
    <w:rsid w:val="00715CA2"/>
    <w:rsid w:val="00726FD3"/>
    <w:rsid w:val="0073292F"/>
    <w:rsid w:val="007406B7"/>
    <w:rsid w:val="00740813"/>
    <w:rsid w:val="007479A7"/>
    <w:rsid w:val="00750111"/>
    <w:rsid w:val="00751580"/>
    <w:rsid w:val="00753EE4"/>
    <w:rsid w:val="00761564"/>
    <w:rsid w:val="0076157E"/>
    <w:rsid w:val="00764049"/>
    <w:rsid w:val="00765BC6"/>
    <w:rsid w:val="00775B3E"/>
    <w:rsid w:val="00776462"/>
    <w:rsid w:val="007766ED"/>
    <w:rsid w:val="00781611"/>
    <w:rsid w:val="00782516"/>
    <w:rsid w:val="00782855"/>
    <w:rsid w:val="00782D7F"/>
    <w:rsid w:val="00795AA4"/>
    <w:rsid w:val="007A16D4"/>
    <w:rsid w:val="007B2903"/>
    <w:rsid w:val="007B3895"/>
    <w:rsid w:val="007C0FCE"/>
    <w:rsid w:val="007C6DF5"/>
    <w:rsid w:val="007D377B"/>
    <w:rsid w:val="007D500A"/>
    <w:rsid w:val="007E025E"/>
    <w:rsid w:val="007E0924"/>
    <w:rsid w:val="007E108F"/>
    <w:rsid w:val="007E2040"/>
    <w:rsid w:val="007E6CF6"/>
    <w:rsid w:val="007F2C0C"/>
    <w:rsid w:val="007F74B0"/>
    <w:rsid w:val="007F7783"/>
    <w:rsid w:val="008004D4"/>
    <w:rsid w:val="00812206"/>
    <w:rsid w:val="00812902"/>
    <w:rsid w:val="00817CBE"/>
    <w:rsid w:val="00820001"/>
    <w:rsid w:val="008221F4"/>
    <w:rsid w:val="008339F3"/>
    <w:rsid w:val="00841BB2"/>
    <w:rsid w:val="00846894"/>
    <w:rsid w:val="00851978"/>
    <w:rsid w:val="0085346E"/>
    <w:rsid w:val="00856AF0"/>
    <w:rsid w:val="0086208E"/>
    <w:rsid w:val="00870433"/>
    <w:rsid w:val="00872428"/>
    <w:rsid w:val="0088131A"/>
    <w:rsid w:val="00884362"/>
    <w:rsid w:val="008906C4"/>
    <w:rsid w:val="0089481E"/>
    <w:rsid w:val="00894B3B"/>
    <w:rsid w:val="00897BD0"/>
    <w:rsid w:val="008A2912"/>
    <w:rsid w:val="008A4701"/>
    <w:rsid w:val="008A58D6"/>
    <w:rsid w:val="008A6EC4"/>
    <w:rsid w:val="008C29D0"/>
    <w:rsid w:val="008C2DE0"/>
    <w:rsid w:val="008C4808"/>
    <w:rsid w:val="008E5730"/>
    <w:rsid w:val="008E7606"/>
    <w:rsid w:val="008F19EF"/>
    <w:rsid w:val="008F1AF7"/>
    <w:rsid w:val="00913A8F"/>
    <w:rsid w:val="00914E64"/>
    <w:rsid w:val="00916D0C"/>
    <w:rsid w:val="00923529"/>
    <w:rsid w:val="0092539A"/>
    <w:rsid w:val="009300F1"/>
    <w:rsid w:val="00931F7F"/>
    <w:rsid w:val="009330E7"/>
    <w:rsid w:val="00947376"/>
    <w:rsid w:val="00955E2F"/>
    <w:rsid w:val="009651AF"/>
    <w:rsid w:val="00965B47"/>
    <w:rsid w:val="009677AB"/>
    <w:rsid w:val="00970059"/>
    <w:rsid w:val="00973A3B"/>
    <w:rsid w:val="009745D0"/>
    <w:rsid w:val="009832B7"/>
    <w:rsid w:val="009839A5"/>
    <w:rsid w:val="00985374"/>
    <w:rsid w:val="00986243"/>
    <w:rsid w:val="00993C03"/>
    <w:rsid w:val="009A3AE7"/>
    <w:rsid w:val="009A544C"/>
    <w:rsid w:val="009A7B99"/>
    <w:rsid w:val="009B040A"/>
    <w:rsid w:val="009B345A"/>
    <w:rsid w:val="009B7E70"/>
    <w:rsid w:val="009C5135"/>
    <w:rsid w:val="009C5507"/>
    <w:rsid w:val="009D10F8"/>
    <w:rsid w:val="009D3EEA"/>
    <w:rsid w:val="009D5AFE"/>
    <w:rsid w:val="009D710B"/>
    <w:rsid w:val="009F1366"/>
    <w:rsid w:val="009F1618"/>
    <w:rsid w:val="009F5678"/>
    <w:rsid w:val="009F76F2"/>
    <w:rsid w:val="00A00A91"/>
    <w:rsid w:val="00A03454"/>
    <w:rsid w:val="00A05454"/>
    <w:rsid w:val="00A12B3E"/>
    <w:rsid w:val="00A24373"/>
    <w:rsid w:val="00A36910"/>
    <w:rsid w:val="00A44C3D"/>
    <w:rsid w:val="00A47A8E"/>
    <w:rsid w:val="00A50418"/>
    <w:rsid w:val="00A50FFA"/>
    <w:rsid w:val="00A607F9"/>
    <w:rsid w:val="00A61434"/>
    <w:rsid w:val="00A67886"/>
    <w:rsid w:val="00A72DFC"/>
    <w:rsid w:val="00A735FC"/>
    <w:rsid w:val="00A74C8F"/>
    <w:rsid w:val="00A74E17"/>
    <w:rsid w:val="00A80D87"/>
    <w:rsid w:val="00A862F5"/>
    <w:rsid w:val="00A86F41"/>
    <w:rsid w:val="00A90575"/>
    <w:rsid w:val="00A92F3B"/>
    <w:rsid w:val="00A94498"/>
    <w:rsid w:val="00AA461D"/>
    <w:rsid w:val="00AB1C56"/>
    <w:rsid w:val="00AC1880"/>
    <w:rsid w:val="00AC6399"/>
    <w:rsid w:val="00AC67A1"/>
    <w:rsid w:val="00AD6A67"/>
    <w:rsid w:val="00AE00D7"/>
    <w:rsid w:val="00AE0D53"/>
    <w:rsid w:val="00AE1C2F"/>
    <w:rsid w:val="00AE518B"/>
    <w:rsid w:val="00AE5ED2"/>
    <w:rsid w:val="00AE723E"/>
    <w:rsid w:val="00AE7E83"/>
    <w:rsid w:val="00AF17BF"/>
    <w:rsid w:val="00AF214B"/>
    <w:rsid w:val="00AF3AA3"/>
    <w:rsid w:val="00AF6190"/>
    <w:rsid w:val="00B01FE1"/>
    <w:rsid w:val="00B02490"/>
    <w:rsid w:val="00B068A8"/>
    <w:rsid w:val="00B07EEF"/>
    <w:rsid w:val="00B11ECC"/>
    <w:rsid w:val="00B1345E"/>
    <w:rsid w:val="00B20DF1"/>
    <w:rsid w:val="00B22D50"/>
    <w:rsid w:val="00B24AA7"/>
    <w:rsid w:val="00B25ACB"/>
    <w:rsid w:val="00B273F1"/>
    <w:rsid w:val="00B3391B"/>
    <w:rsid w:val="00B362F4"/>
    <w:rsid w:val="00B36B86"/>
    <w:rsid w:val="00B45E27"/>
    <w:rsid w:val="00B501CB"/>
    <w:rsid w:val="00B535E6"/>
    <w:rsid w:val="00B64F26"/>
    <w:rsid w:val="00B66791"/>
    <w:rsid w:val="00B678A4"/>
    <w:rsid w:val="00B67CE8"/>
    <w:rsid w:val="00B71B91"/>
    <w:rsid w:val="00B80BA8"/>
    <w:rsid w:val="00B812AC"/>
    <w:rsid w:val="00B833C9"/>
    <w:rsid w:val="00B84D38"/>
    <w:rsid w:val="00BB1375"/>
    <w:rsid w:val="00BB511E"/>
    <w:rsid w:val="00BB5E8C"/>
    <w:rsid w:val="00BC0A4E"/>
    <w:rsid w:val="00BC2F25"/>
    <w:rsid w:val="00BD2F7B"/>
    <w:rsid w:val="00BD3E0F"/>
    <w:rsid w:val="00BD4BA3"/>
    <w:rsid w:val="00BD5EEA"/>
    <w:rsid w:val="00BD67C9"/>
    <w:rsid w:val="00BE183D"/>
    <w:rsid w:val="00BE4BFC"/>
    <w:rsid w:val="00BE6A1E"/>
    <w:rsid w:val="00BF00B9"/>
    <w:rsid w:val="00BF354C"/>
    <w:rsid w:val="00BF468F"/>
    <w:rsid w:val="00C01971"/>
    <w:rsid w:val="00C065AC"/>
    <w:rsid w:val="00C17194"/>
    <w:rsid w:val="00C2140F"/>
    <w:rsid w:val="00C23B0C"/>
    <w:rsid w:val="00C3368E"/>
    <w:rsid w:val="00C33A81"/>
    <w:rsid w:val="00C33EB9"/>
    <w:rsid w:val="00C357DB"/>
    <w:rsid w:val="00C40BDC"/>
    <w:rsid w:val="00C4446E"/>
    <w:rsid w:val="00C501BB"/>
    <w:rsid w:val="00C506BA"/>
    <w:rsid w:val="00C60DB0"/>
    <w:rsid w:val="00C61CD3"/>
    <w:rsid w:val="00C62DC3"/>
    <w:rsid w:val="00C64821"/>
    <w:rsid w:val="00C64879"/>
    <w:rsid w:val="00C67303"/>
    <w:rsid w:val="00C759D1"/>
    <w:rsid w:val="00C90AA8"/>
    <w:rsid w:val="00C914E6"/>
    <w:rsid w:val="00C93E96"/>
    <w:rsid w:val="00C950C4"/>
    <w:rsid w:val="00C9635C"/>
    <w:rsid w:val="00CB14C6"/>
    <w:rsid w:val="00CB1F90"/>
    <w:rsid w:val="00CB7A16"/>
    <w:rsid w:val="00CB7E98"/>
    <w:rsid w:val="00CC7448"/>
    <w:rsid w:val="00CD5306"/>
    <w:rsid w:val="00CE214B"/>
    <w:rsid w:val="00CE25A2"/>
    <w:rsid w:val="00CE5238"/>
    <w:rsid w:val="00CE55E3"/>
    <w:rsid w:val="00CE615D"/>
    <w:rsid w:val="00CF42AF"/>
    <w:rsid w:val="00CF42CD"/>
    <w:rsid w:val="00CF6604"/>
    <w:rsid w:val="00D02E25"/>
    <w:rsid w:val="00D0409F"/>
    <w:rsid w:val="00D0607F"/>
    <w:rsid w:val="00D06B15"/>
    <w:rsid w:val="00D06C07"/>
    <w:rsid w:val="00D34A8C"/>
    <w:rsid w:val="00D36434"/>
    <w:rsid w:val="00D4589F"/>
    <w:rsid w:val="00D4770A"/>
    <w:rsid w:val="00D47C6A"/>
    <w:rsid w:val="00D5072C"/>
    <w:rsid w:val="00D52CC4"/>
    <w:rsid w:val="00D55401"/>
    <w:rsid w:val="00D55DCC"/>
    <w:rsid w:val="00D5699F"/>
    <w:rsid w:val="00D60D36"/>
    <w:rsid w:val="00D677AC"/>
    <w:rsid w:val="00D74524"/>
    <w:rsid w:val="00D752B7"/>
    <w:rsid w:val="00D77BC7"/>
    <w:rsid w:val="00D80EFA"/>
    <w:rsid w:val="00D8181E"/>
    <w:rsid w:val="00D82CC0"/>
    <w:rsid w:val="00D909C7"/>
    <w:rsid w:val="00D931AC"/>
    <w:rsid w:val="00DA05BF"/>
    <w:rsid w:val="00DA2F1C"/>
    <w:rsid w:val="00DA5928"/>
    <w:rsid w:val="00DA7F8A"/>
    <w:rsid w:val="00DC1A20"/>
    <w:rsid w:val="00DC2180"/>
    <w:rsid w:val="00DC3B62"/>
    <w:rsid w:val="00DC7297"/>
    <w:rsid w:val="00DD377A"/>
    <w:rsid w:val="00DD40C7"/>
    <w:rsid w:val="00DD4ECB"/>
    <w:rsid w:val="00DD531F"/>
    <w:rsid w:val="00DE181B"/>
    <w:rsid w:val="00DE2245"/>
    <w:rsid w:val="00DE2F3B"/>
    <w:rsid w:val="00DE42B4"/>
    <w:rsid w:val="00DE49D9"/>
    <w:rsid w:val="00DE69BC"/>
    <w:rsid w:val="00DE70A0"/>
    <w:rsid w:val="00DF3C17"/>
    <w:rsid w:val="00DF777F"/>
    <w:rsid w:val="00E0153D"/>
    <w:rsid w:val="00E02FE0"/>
    <w:rsid w:val="00E03FAD"/>
    <w:rsid w:val="00E04537"/>
    <w:rsid w:val="00E052C4"/>
    <w:rsid w:val="00E10C7B"/>
    <w:rsid w:val="00E120AD"/>
    <w:rsid w:val="00E178E8"/>
    <w:rsid w:val="00E179B4"/>
    <w:rsid w:val="00E17AEA"/>
    <w:rsid w:val="00E26A84"/>
    <w:rsid w:val="00E26E8D"/>
    <w:rsid w:val="00E303CC"/>
    <w:rsid w:val="00E327AF"/>
    <w:rsid w:val="00E43696"/>
    <w:rsid w:val="00E45CFB"/>
    <w:rsid w:val="00E4757C"/>
    <w:rsid w:val="00E53C74"/>
    <w:rsid w:val="00E57DB4"/>
    <w:rsid w:val="00E626E4"/>
    <w:rsid w:val="00E658A2"/>
    <w:rsid w:val="00E65A20"/>
    <w:rsid w:val="00E66554"/>
    <w:rsid w:val="00E729E2"/>
    <w:rsid w:val="00E7640B"/>
    <w:rsid w:val="00E803CE"/>
    <w:rsid w:val="00E83587"/>
    <w:rsid w:val="00E86BE4"/>
    <w:rsid w:val="00E931BC"/>
    <w:rsid w:val="00E97D72"/>
    <w:rsid w:val="00EA0791"/>
    <w:rsid w:val="00EA36E2"/>
    <w:rsid w:val="00EA5F0D"/>
    <w:rsid w:val="00EA6636"/>
    <w:rsid w:val="00EB002E"/>
    <w:rsid w:val="00EB197B"/>
    <w:rsid w:val="00EB5810"/>
    <w:rsid w:val="00EB5A6F"/>
    <w:rsid w:val="00EC554E"/>
    <w:rsid w:val="00EC5CE0"/>
    <w:rsid w:val="00EC6451"/>
    <w:rsid w:val="00EC7EFD"/>
    <w:rsid w:val="00ED12D7"/>
    <w:rsid w:val="00ED3809"/>
    <w:rsid w:val="00EE0A89"/>
    <w:rsid w:val="00EF652B"/>
    <w:rsid w:val="00F072B3"/>
    <w:rsid w:val="00F12E9C"/>
    <w:rsid w:val="00F256C1"/>
    <w:rsid w:val="00F260FD"/>
    <w:rsid w:val="00F33CCF"/>
    <w:rsid w:val="00F42A10"/>
    <w:rsid w:val="00F43253"/>
    <w:rsid w:val="00F442A1"/>
    <w:rsid w:val="00F450CC"/>
    <w:rsid w:val="00F47F55"/>
    <w:rsid w:val="00F5250A"/>
    <w:rsid w:val="00F60F43"/>
    <w:rsid w:val="00F63625"/>
    <w:rsid w:val="00F75DE2"/>
    <w:rsid w:val="00F80F31"/>
    <w:rsid w:val="00F81873"/>
    <w:rsid w:val="00F9057C"/>
    <w:rsid w:val="00F94357"/>
    <w:rsid w:val="00F94923"/>
    <w:rsid w:val="00F9653A"/>
    <w:rsid w:val="00F966E1"/>
    <w:rsid w:val="00FA0146"/>
    <w:rsid w:val="00FA5EF2"/>
    <w:rsid w:val="00FB008A"/>
    <w:rsid w:val="00FB0644"/>
    <w:rsid w:val="00FB0F25"/>
    <w:rsid w:val="00FB2C39"/>
    <w:rsid w:val="00FB4692"/>
    <w:rsid w:val="00FC49D4"/>
    <w:rsid w:val="00FC5E4B"/>
    <w:rsid w:val="00FC6F1B"/>
    <w:rsid w:val="00FD0A48"/>
    <w:rsid w:val="00FD45EC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E7C666"/>
  <w15:docId w15:val="{57A08DB6-75B9-40D9-AEFD-B8F69AA8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8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7CE2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297CE2"/>
    <w:pPr>
      <w:keepNext/>
      <w:jc w:val="center"/>
      <w:outlineLvl w:val="1"/>
    </w:pPr>
    <w:rPr>
      <w:b/>
      <w:bCs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04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D0C"/>
    <w:pPr>
      <w:ind w:left="720"/>
      <w:contextualSpacing/>
    </w:pPr>
  </w:style>
  <w:style w:type="character" w:customStyle="1" w:styleId="Ttulo1Char">
    <w:name w:val="Título 1 Char"/>
    <w:link w:val="Ttulo1"/>
    <w:rsid w:val="00297CE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link w:val="Ttulo2"/>
    <w:rsid w:val="00297CE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xto1">
    <w:name w:val="texto1"/>
    <w:basedOn w:val="Normal"/>
    <w:rsid w:val="00297CE2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C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97C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C0C"/>
    <w:rPr>
      <w:color w:val="0000FF"/>
      <w:u w:val="single"/>
    </w:rPr>
  </w:style>
  <w:style w:type="character" w:styleId="nfase">
    <w:name w:val="Emphasis"/>
    <w:uiPriority w:val="20"/>
    <w:qFormat/>
    <w:rsid w:val="003D7C0C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723E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E723E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E723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71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71AA2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71AA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71AA2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0D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F2C0C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E045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tedodatabela">
    <w:name w:val="Conteúdo da tabela"/>
    <w:basedOn w:val="Normal"/>
    <w:rsid w:val="00704220"/>
    <w:pPr>
      <w:suppressLineNumbers/>
    </w:pPr>
    <w:rPr>
      <w:kern w:val="1"/>
    </w:rPr>
  </w:style>
  <w:style w:type="character" w:styleId="MenoPendente">
    <w:name w:val="Unresolved Mention"/>
    <w:basedOn w:val="Fontepargpadro"/>
    <w:uiPriority w:val="99"/>
    <w:semiHidden/>
    <w:unhideWhenUsed/>
    <w:rsid w:val="00656D9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A6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citacoesecontratos.tcu.gov.br/wp-content/uploads/sites/11/2024/09/Licitacoes-e-Contratos-Orientacoes-e-Jurisprudencia-do-TCU-5a-Edicao-29-08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3F19-A4D5-4173-863B-A33EA13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5</Pages>
  <Words>1704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fin23</dc:creator>
  <cp:lastModifiedBy>Setor de Suprimentos, Compras e Patrimônio - Área de Almoxarifado</cp:lastModifiedBy>
  <cp:revision>58</cp:revision>
  <cp:lastPrinted>2022-12-02T16:21:00Z</cp:lastPrinted>
  <dcterms:created xsi:type="dcterms:W3CDTF">2017-12-15T14:26:00Z</dcterms:created>
  <dcterms:modified xsi:type="dcterms:W3CDTF">2025-07-22T16:01:00Z</dcterms:modified>
</cp:coreProperties>
</file>